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33FEC" w14:textId="131CDA43" w:rsidR="009138E5" w:rsidRPr="009138E5" w:rsidRDefault="009138E5" w:rsidP="009138E5">
      <w:pPr>
        <w:widowControl w:val="0"/>
        <w:tabs>
          <w:tab w:val="center" w:pos="4536"/>
          <w:tab w:val="right" w:pos="9781"/>
        </w:tabs>
        <w:snapToGrid/>
        <w:spacing w:after="0" w:afterAutospacing="0"/>
        <w:ind w:right="-58"/>
        <w:jc w:val="left"/>
        <w:rPr>
          <w:rFonts w:ascii="Arial" w:eastAsia="MS Mincho" w:hAnsi="Arial" w:cs="Arial"/>
          <w:b/>
          <w:bCs/>
          <w:sz w:val="28"/>
          <w:szCs w:val="24"/>
          <w:lang w:eastAsia="en-US"/>
        </w:rPr>
      </w:pPr>
      <w:bookmarkStart w:id="0" w:name="OLE_LINK3"/>
      <w:bookmarkStart w:id="1" w:name="_Ref133120545"/>
      <w:r w:rsidRPr="009138E5">
        <w:rPr>
          <w:rFonts w:ascii="Arial" w:eastAsia="MS Mincho" w:hAnsi="Arial" w:cs="Arial"/>
          <w:b/>
          <w:bCs/>
          <w:sz w:val="28"/>
          <w:szCs w:val="24"/>
          <w:lang w:eastAsia="en-US"/>
        </w:rPr>
        <w:t>3GPP TSG RAN WG1 Meeting #11</w:t>
      </w:r>
      <w:r w:rsidR="00950210">
        <w:rPr>
          <w:rFonts w:ascii="Arial" w:eastAsia="MS Mincho" w:hAnsi="Arial" w:cs="Arial"/>
          <w:b/>
          <w:bCs/>
          <w:sz w:val="28"/>
          <w:szCs w:val="24"/>
          <w:lang w:eastAsia="en-US"/>
        </w:rPr>
        <w:t>4</w:t>
      </w:r>
      <w:r w:rsidRPr="009138E5">
        <w:rPr>
          <w:rFonts w:ascii="Arial" w:eastAsia="MS Mincho" w:hAnsi="Arial" w:cs="Arial"/>
          <w:b/>
          <w:bCs/>
          <w:sz w:val="28"/>
          <w:szCs w:val="24"/>
          <w:lang w:eastAsia="en-US"/>
        </w:rPr>
        <w:tab/>
        <w:t>R1-23</w:t>
      </w:r>
      <w:r w:rsidR="00F4376D">
        <w:rPr>
          <w:rFonts w:ascii="Arial" w:eastAsia="MS Mincho" w:hAnsi="Arial" w:cs="Arial"/>
          <w:b/>
          <w:bCs/>
          <w:sz w:val="28"/>
          <w:szCs w:val="24"/>
          <w:lang w:eastAsia="en-US"/>
        </w:rPr>
        <w:t>07164</w:t>
      </w:r>
    </w:p>
    <w:p w14:paraId="102389F5" w14:textId="7BB4D614" w:rsidR="00950210" w:rsidRPr="00950210" w:rsidRDefault="00950210" w:rsidP="009138E5">
      <w:pPr>
        <w:tabs>
          <w:tab w:val="center" w:pos="4536"/>
          <w:tab w:val="right" w:pos="9072"/>
        </w:tabs>
        <w:rPr>
          <w:rFonts w:ascii="Arial" w:eastAsia="MS Mincho" w:hAnsi="Arial" w:cs="Arial"/>
          <w:b/>
          <w:bCs/>
          <w:sz w:val="28"/>
        </w:rPr>
      </w:pPr>
      <w:r>
        <w:rPr>
          <w:rFonts w:ascii="Arial" w:eastAsia="MS Mincho" w:hAnsi="Arial" w:cs="Arial"/>
          <w:b/>
          <w:bCs/>
          <w:sz w:val="28"/>
        </w:rPr>
        <w:t>Toulouse, France</w:t>
      </w:r>
      <w:r w:rsidRPr="00A80D3B">
        <w:rPr>
          <w:rFonts w:ascii="Arial" w:eastAsia="MS Mincho" w:hAnsi="Arial" w:cs="Arial"/>
          <w:b/>
          <w:bCs/>
          <w:sz w:val="28"/>
        </w:rPr>
        <w:t xml:space="preserve">, </w:t>
      </w:r>
      <w:r>
        <w:rPr>
          <w:rFonts w:ascii="Arial" w:eastAsia="MS Mincho" w:hAnsi="Arial" w:cs="Arial"/>
          <w:b/>
          <w:bCs/>
          <w:sz w:val="28"/>
        </w:rPr>
        <w:t>August 21</w:t>
      </w:r>
      <w:r w:rsidRPr="00950210">
        <w:rPr>
          <w:rFonts w:ascii="Arial" w:eastAsia="MS Mincho" w:hAnsi="Arial" w:cs="Arial"/>
          <w:b/>
          <w:bCs/>
          <w:sz w:val="28"/>
        </w:rPr>
        <w:t>st</w:t>
      </w:r>
      <w:r>
        <w:rPr>
          <w:rFonts w:ascii="Arial" w:eastAsia="MS Mincho" w:hAnsi="Arial" w:cs="Arial"/>
          <w:b/>
          <w:bCs/>
          <w:sz w:val="28"/>
        </w:rPr>
        <w:t xml:space="preserve"> </w:t>
      </w:r>
      <w:r w:rsidRPr="00A80D3B">
        <w:rPr>
          <w:rFonts w:ascii="Arial" w:eastAsia="MS Mincho" w:hAnsi="Arial" w:cs="Arial"/>
          <w:b/>
          <w:bCs/>
          <w:sz w:val="28"/>
        </w:rPr>
        <w:t xml:space="preserve">– </w:t>
      </w:r>
      <w:r>
        <w:rPr>
          <w:rFonts w:ascii="Arial" w:eastAsia="MS Mincho" w:hAnsi="Arial" w:cs="Arial"/>
          <w:b/>
          <w:bCs/>
          <w:sz w:val="28"/>
        </w:rPr>
        <w:t>August 25</w:t>
      </w:r>
      <w:r w:rsidRPr="00950210">
        <w:rPr>
          <w:rFonts w:ascii="Arial" w:eastAsia="MS Mincho" w:hAnsi="Arial" w:cs="Arial"/>
          <w:b/>
          <w:bCs/>
          <w:sz w:val="28"/>
        </w:rPr>
        <w:t>th</w:t>
      </w:r>
      <w:r>
        <w:rPr>
          <w:rFonts w:ascii="Arial" w:eastAsia="MS Mincho" w:hAnsi="Arial" w:cs="Arial"/>
          <w:b/>
          <w:bCs/>
          <w:sz w:val="28"/>
        </w:rPr>
        <w:t>, 2023</w:t>
      </w:r>
    </w:p>
    <w:p w14:paraId="54B136E2" w14:textId="6527F73B" w:rsidR="00270911" w:rsidRDefault="00270911" w:rsidP="009163BB">
      <w:pPr>
        <w:tabs>
          <w:tab w:val="left" w:pos="1985"/>
        </w:tabs>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Source:</w:t>
      </w:r>
      <w:r>
        <w:rPr>
          <w:rFonts w:ascii="Arial" w:eastAsia="MS Mincho" w:hAnsi="Arial" w:cs="Arial"/>
          <w:b/>
          <w:sz w:val="28"/>
          <w:szCs w:val="28"/>
          <w:lang w:val="en-US"/>
        </w:rPr>
        <w:tab/>
      </w:r>
      <w:r w:rsidR="006F21B6">
        <w:rPr>
          <w:rFonts w:ascii="Arial" w:eastAsia="MS Mincho" w:hAnsi="Arial" w:cs="Arial"/>
          <w:b/>
          <w:sz w:val="28"/>
          <w:szCs w:val="28"/>
          <w:lang w:val="en-US"/>
        </w:rPr>
        <w:t>Fujitsu</w:t>
      </w:r>
    </w:p>
    <w:p w14:paraId="07974BB2" w14:textId="448F4ACC" w:rsidR="00C40FD9" w:rsidRPr="006B449F" w:rsidRDefault="00270911" w:rsidP="00F35EC2">
      <w:pPr>
        <w:spacing w:after="0" w:afterAutospacing="0"/>
        <w:ind w:left="1985" w:hangingChars="706" w:hanging="1985"/>
        <w:rPr>
          <w:rFonts w:ascii="Arial" w:eastAsia="MS Mincho" w:hAnsi="Arial" w:cs="Arial"/>
          <w:b/>
          <w:sz w:val="28"/>
          <w:szCs w:val="28"/>
        </w:rPr>
      </w:pPr>
      <w:r>
        <w:rPr>
          <w:rFonts w:ascii="Arial" w:eastAsia="MS Mincho" w:hAnsi="Arial" w:cs="Arial"/>
          <w:b/>
          <w:sz w:val="28"/>
          <w:szCs w:val="28"/>
          <w:lang w:val="en-US"/>
        </w:rPr>
        <w:t>Title:</w:t>
      </w:r>
      <w:r>
        <w:rPr>
          <w:rFonts w:ascii="Arial" w:eastAsia="MS Mincho" w:hAnsi="Arial" w:cs="Arial"/>
          <w:b/>
          <w:sz w:val="28"/>
          <w:szCs w:val="28"/>
          <w:lang w:val="en-US"/>
        </w:rPr>
        <w:tab/>
      </w:r>
      <w:r w:rsidR="00F66549">
        <w:rPr>
          <w:rFonts w:ascii="Arial" w:eastAsia="MS Mincho" w:hAnsi="Arial" w:cs="Arial"/>
          <w:b/>
          <w:sz w:val="28"/>
          <w:szCs w:val="28"/>
          <w:lang w:val="en-US"/>
        </w:rPr>
        <w:t>V</w:t>
      </w:r>
      <w:r w:rsidR="00BE5F6D">
        <w:rPr>
          <w:rFonts w:ascii="Arial" w:eastAsia="MS Mincho" w:hAnsi="Arial" w:cs="Arial"/>
          <w:b/>
          <w:sz w:val="28"/>
          <w:szCs w:val="28"/>
          <w:lang w:val="en-US"/>
        </w:rPr>
        <w:t>iews on</w:t>
      </w:r>
      <w:r w:rsidR="006B449F">
        <w:rPr>
          <w:rFonts w:ascii="Arial" w:eastAsia="MS Mincho" w:hAnsi="Arial" w:cs="Arial"/>
          <w:b/>
          <w:sz w:val="28"/>
          <w:szCs w:val="28"/>
          <w:lang w:val="en-US"/>
        </w:rPr>
        <w:t xml:space="preserve"> </w:t>
      </w:r>
      <w:r w:rsidR="006B449F" w:rsidRPr="006B449F">
        <w:rPr>
          <w:rFonts w:ascii="Arial" w:eastAsia="MS Mincho" w:hAnsi="Arial" w:cs="Arial"/>
          <w:b/>
          <w:sz w:val="28"/>
          <w:szCs w:val="28"/>
          <w:lang w:val="en-US"/>
        </w:rPr>
        <w:t>L1 enhancements for inter-cell beam management</w:t>
      </w:r>
    </w:p>
    <w:p w14:paraId="0AD5DEDA" w14:textId="18A38182" w:rsidR="00270911" w:rsidRDefault="0035721C" w:rsidP="009163BB">
      <w:pPr>
        <w:spacing w:after="0" w:afterAutospacing="0"/>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Agenda Item:</w:t>
      </w:r>
      <w:r>
        <w:rPr>
          <w:rFonts w:ascii="Arial" w:eastAsia="MS Mincho" w:hAnsi="Arial" w:cs="Arial"/>
          <w:b/>
          <w:sz w:val="28"/>
          <w:szCs w:val="28"/>
          <w:lang w:val="en-US"/>
        </w:rPr>
        <w:tab/>
      </w:r>
      <w:r w:rsidR="003C250F">
        <w:rPr>
          <w:rFonts w:ascii="Arial" w:eastAsia="MS Mincho" w:hAnsi="Arial" w:cs="Arial"/>
          <w:b/>
          <w:sz w:val="28"/>
          <w:szCs w:val="28"/>
          <w:lang w:val="en-US"/>
        </w:rPr>
        <w:t>9.</w:t>
      </w:r>
      <w:r w:rsidR="00F50CDE">
        <w:rPr>
          <w:rFonts w:ascii="Arial" w:eastAsia="MS Mincho" w:hAnsi="Arial" w:cs="Arial"/>
          <w:b/>
          <w:sz w:val="28"/>
          <w:szCs w:val="28"/>
          <w:lang w:val="en-US"/>
        </w:rPr>
        <w:t>1</w:t>
      </w:r>
      <w:r w:rsidR="005108B9">
        <w:rPr>
          <w:rFonts w:ascii="Arial" w:eastAsia="MS Mincho" w:hAnsi="Arial" w:cs="Arial"/>
          <w:b/>
          <w:sz w:val="28"/>
          <w:szCs w:val="28"/>
          <w:lang w:val="en-US"/>
        </w:rPr>
        <w:t>0</w:t>
      </w:r>
      <w:r w:rsidR="00F50CDE">
        <w:rPr>
          <w:rFonts w:ascii="Arial" w:eastAsia="MS Mincho" w:hAnsi="Arial" w:cs="Arial"/>
          <w:b/>
          <w:sz w:val="28"/>
          <w:szCs w:val="28"/>
          <w:lang w:val="en-US"/>
        </w:rPr>
        <w:t>.1</w:t>
      </w:r>
    </w:p>
    <w:p w14:paraId="49D2FDED" w14:textId="0EDF4B1E" w:rsidR="00270911" w:rsidRDefault="00270911" w:rsidP="009163BB">
      <w:pPr>
        <w:pBdr>
          <w:bottom w:val="single" w:sz="12" w:space="1" w:color="auto"/>
        </w:pBdr>
        <w:ind w:left="1985" w:hangingChars="706" w:hanging="1985"/>
        <w:rPr>
          <w:rFonts w:ascii="Arial" w:eastAsia="MS Mincho" w:hAnsi="Arial" w:cs="Arial"/>
          <w:b/>
          <w:sz w:val="28"/>
          <w:szCs w:val="28"/>
          <w:lang w:val="en-US"/>
        </w:rPr>
      </w:pPr>
      <w:r>
        <w:rPr>
          <w:rFonts w:ascii="Arial" w:eastAsia="MS Mincho" w:hAnsi="Arial" w:cs="Arial"/>
          <w:b/>
          <w:sz w:val="28"/>
          <w:szCs w:val="28"/>
          <w:lang w:val="en-US"/>
        </w:rPr>
        <w:t>Document for:</w:t>
      </w:r>
      <w:r>
        <w:rPr>
          <w:rFonts w:ascii="Arial" w:eastAsia="MS Mincho" w:hAnsi="Arial" w:cs="Arial"/>
          <w:b/>
          <w:sz w:val="28"/>
          <w:szCs w:val="28"/>
          <w:lang w:val="en-US"/>
        </w:rPr>
        <w:tab/>
      </w:r>
      <w:r w:rsidR="00B9491A">
        <w:rPr>
          <w:rFonts w:ascii="Arial" w:eastAsia="MS Mincho" w:hAnsi="Arial" w:cs="Arial" w:hint="eastAsia"/>
          <w:b/>
          <w:sz w:val="28"/>
          <w:szCs w:val="28"/>
          <w:lang w:val="en-US"/>
        </w:rPr>
        <w:t>Discussion</w:t>
      </w:r>
      <w:r w:rsidR="00DE645A">
        <w:rPr>
          <w:rFonts w:ascii="Arial" w:eastAsia="MS Mincho" w:hAnsi="Arial" w:cs="Arial"/>
          <w:b/>
          <w:sz w:val="28"/>
          <w:szCs w:val="28"/>
          <w:lang w:val="en-US"/>
        </w:rPr>
        <w:t xml:space="preserve"> and Decision</w:t>
      </w:r>
    </w:p>
    <w:bookmarkEnd w:id="0"/>
    <w:bookmarkEnd w:id="1"/>
    <w:p w14:paraId="120B1A3C" w14:textId="0BD848DB" w:rsidR="003301CE" w:rsidRDefault="00EA5D44" w:rsidP="005E4B6E">
      <w:pPr>
        <w:pStyle w:val="10"/>
        <w:spacing w:before="180" w:after="180"/>
        <w:rPr>
          <w:lang w:val="en-US"/>
        </w:rPr>
      </w:pPr>
      <w:r>
        <w:rPr>
          <w:lang w:val="en-US"/>
        </w:rPr>
        <w:t>Introduction</w:t>
      </w:r>
    </w:p>
    <w:p w14:paraId="06CC6CBE" w14:textId="224FE107" w:rsidR="00222230" w:rsidRDefault="00547FAE" w:rsidP="00222230">
      <w:r>
        <w:t>In the RAN1#</w:t>
      </w:r>
      <w:r w:rsidR="0052072E">
        <w:t>11</w:t>
      </w:r>
      <w:r w:rsidR="00275741">
        <w:t>3</w:t>
      </w:r>
      <w:r w:rsidR="0052072E">
        <w:t xml:space="preserve"> </w:t>
      </w:r>
      <w:r>
        <w:t xml:space="preserve">meeting, </w:t>
      </w:r>
      <w:r w:rsidR="0069600F">
        <w:t>much</w:t>
      </w:r>
      <w:r w:rsidR="009933E6">
        <w:t xml:space="preserve"> progress has</w:t>
      </w:r>
      <w:r w:rsidR="003028F2">
        <w:t xml:space="preserve"> been </w:t>
      </w:r>
      <w:r w:rsidR="009933E6">
        <w:t xml:space="preserve">made </w:t>
      </w:r>
      <w:r w:rsidR="001B252D">
        <w:t>for</w:t>
      </w:r>
      <w:r w:rsidR="003028F2">
        <w:t xml:space="preserve"> </w:t>
      </w:r>
      <w:r w:rsidR="0069600F">
        <w:t xml:space="preserve">the measurement configuration, </w:t>
      </w:r>
      <w:r w:rsidR="001B252D">
        <w:t xml:space="preserve">the measurement report and </w:t>
      </w:r>
      <w:r w:rsidR="00E60AA0">
        <w:t>the beam indication</w:t>
      </w:r>
      <w:r w:rsidR="009A7BA4">
        <w:t xml:space="preserve">. </w:t>
      </w:r>
      <w:r w:rsidR="00755886">
        <w:t xml:space="preserve">In this contribution, we </w:t>
      </w:r>
      <w:r w:rsidR="00F265D2">
        <w:t xml:space="preserve">further </w:t>
      </w:r>
      <w:r w:rsidR="00755886">
        <w:t>share our view</w:t>
      </w:r>
      <w:r w:rsidR="009A7BA4">
        <w:t>s</w:t>
      </w:r>
      <w:r w:rsidR="00755886">
        <w:t xml:space="preserve"> on </w:t>
      </w:r>
      <w:r w:rsidR="00CE383B">
        <w:t>some</w:t>
      </w:r>
      <w:r w:rsidR="005B613C">
        <w:t xml:space="preserve"> </w:t>
      </w:r>
      <w:r w:rsidR="0069600F">
        <w:t>remaining</w:t>
      </w:r>
      <w:r w:rsidR="00CE383B">
        <w:t xml:space="preserve"> </w:t>
      </w:r>
      <w:r w:rsidR="00F265D2">
        <w:t>issues</w:t>
      </w:r>
      <w:r w:rsidR="000364F4">
        <w:t xml:space="preserve">. </w:t>
      </w:r>
    </w:p>
    <w:p w14:paraId="2D51ED88" w14:textId="30B3749E" w:rsidR="0005168A" w:rsidRDefault="006217E1" w:rsidP="00222230">
      <w:pPr>
        <w:pStyle w:val="10"/>
        <w:spacing w:after="180"/>
      </w:pPr>
      <w:r>
        <w:t>Discussio</w:t>
      </w:r>
      <w:r w:rsidR="00252ED2">
        <w:t>n</w:t>
      </w:r>
    </w:p>
    <w:p w14:paraId="7A941EB1" w14:textId="64C32011" w:rsidR="00435261" w:rsidRDefault="009F433E" w:rsidP="00A930BB">
      <w:pPr>
        <w:pStyle w:val="20"/>
        <w:rPr>
          <w:lang w:eastAsia="zh-CN"/>
        </w:rPr>
      </w:pPr>
      <w:r>
        <w:rPr>
          <w:lang w:eastAsia="zh-CN"/>
        </w:rPr>
        <w:t>M</w:t>
      </w:r>
      <w:r w:rsidR="00435261">
        <w:rPr>
          <w:lang w:eastAsia="zh-CN"/>
        </w:rPr>
        <w:t>easurement report</w:t>
      </w:r>
    </w:p>
    <w:p w14:paraId="79FBEDB7" w14:textId="0BAFF07B" w:rsidR="00487A85" w:rsidRDefault="00487A85" w:rsidP="00487A85">
      <w:pPr>
        <w:rPr>
          <w:lang w:val="x-none"/>
        </w:rPr>
      </w:pPr>
      <w:r>
        <w:rPr>
          <w:rFonts w:eastAsia="宋体"/>
          <w:lang w:val="x-none" w:eastAsia="zh-CN"/>
        </w:rPr>
        <w:t xml:space="preserve">In the RAN1#113 meeting, the following </w:t>
      </w:r>
      <w:r w:rsidR="00EF6180">
        <w:rPr>
          <w:rFonts w:eastAsia="宋体"/>
          <w:lang w:val="x-none" w:eastAsia="zh-CN"/>
        </w:rPr>
        <w:t>agreement has been achieved</w:t>
      </w:r>
      <w:r>
        <w:rPr>
          <w:rFonts w:eastAsia="宋体"/>
          <w:lang w:val="x-none" w:eastAsia="zh-CN"/>
        </w:rPr>
        <w:t xml:space="preserve"> [</w:t>
      </w:r>
      <w:r w:rsidR="00CD44E0">
        <w:rPr>
          <w:rFonts w:eastAsia="宋体"/>
          <w:lang w:val="x-none" w:eastAsia="zh-CN"/>
        </w:rPr>
        <w:t>1</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487A85" w:rsidRPr="00980D20" w14:paraId="4F06B0EA" w14:textId="77777777" w:rsidTr="00696010">
        <w:trPr>
          <w:jc w:val="center"/>
        </w:trPr>
        <w:tc>
          <w:tcPr>
            <w:tcW w:w="9962" w:type="dxa"/>
          </w:tcPr>
          <w:p w14:paraId="7EBB0B3A" w14:textId="77777777" w:rsidR="00EF6180" w:rsidRDefault="00EF6180" w:rsidP="00EF4B12">
            <w:pPr>
              <w:spacing w:afterLines="50" w:after="180" w:afterAutospacing="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68AAA854" w14:textId="77777777" w:rsidR="00EF6180" w:rsidRPr="005A6AB0" w:rsidRDefault="00EF6180" w:rsidP="00EF6180">
            <w:pPr>
              <w:pStyle w:val="a"/>
              <w:numPr>
                <w:ilvl w:val="0"/>
                <w:numId w:val="8"/>
              </w:numPr>
              <w:spacing w:after="0" w:afterAutospacing="0"/>
            </w:pPr>
            <w:r w:rsidRPr="005A6AB0">
              <w:t xml:space="preserve">For the configuration of SSB based L1-RSRP measurement, </w:t>
            </w:r>
          </w:p>
          <w:p w14:paraId="22B68485" w14:textId="635B5BCE" w:rsidR="00487A85" w:rsidRPr="00EF6180" w:rsidRDefault="00EF6180" w:rsidP="00EF4B12">
            <w:pPr>
              <w:pStyle w:val="a"/>
              <w:numPr>
                <w:ilvl w:val="1"/>
                <w:numId w:val="8"/>
              </w:numPr>
              <w:spacing w:afterLines="50" w:after="180" w:afterAutospacing="0"/>
            </w:pPr>
            <w:r w:rsidRPr="005A6AB0">
              <w:t>periodicity of SSB, SSB position in burst</w:t>
            </w:r>
            <w:r w:rsidRPr="00034DF9">
              <w:t xml:space="preserve"> </w:t>
            </w:r>
            <w:r w:rsidRPr="005A6AB0">
              <w:t>are provided as time domain information for intra- and inter- frequency</w:t>
            </w:r>
          </w:p>
        </w:tc>
      </w:tr>
    </w:tbl>
    <w:p w14:paraId="13915E03" w14:textId="755DED30" w:rsidR="000D24DC" w:rsidRDefault="00CD44E0" w:rsidP="00CD44E0">
      <w:pPr>
        <w:spacing w:beforeLines="50" w:before="180"/>
      </w:pPr>
      <w:r>
        <w:rPr>
          <w:rFonts w:eastAsia="宋体"/>
          <w:lang w:val="x-none" w:eastAsia="zh-CN"/>
        </w:rPr>
        <w:t xml:space="preserve">According to the agreement, </w:t>
      </w:r>
      <w:r w:rsidR="001F776D" w:rsidRPr="00015E24">
        <w:rPr>
          <w:i/>
          <w:iCs/>
        </w:rPr>
        <w:t>ssb-PositionsInBurst</w:t>
      </w:r>
      <w:r w:rsidR="001F776D">
        <w:t xml:space="preserve"> is provided by the measurement configuration</w:t>
      </w:r>
      <w:r w:rsidR="00892AA2">
        <w:t xml:space="preserve"> to configure the measurement RS</w:t>
      </w:r>
      <w:r w:rsidR="001F776D">
        <w:t xml:space="preserve">. However, it </w:t>
      </w:r>
      <w:r w:rsidR="00547803">
        <w:t>is not</w:t>
      </w:r>
      <w:r w:rsidR="001F776D">
        <w:t xml:space="preserve"> </w:t>
      </w:r>
      <w:r w:rsidR="00D92FC5">
        <w:t>necessary</w:t>
      </w:r>
      <w:r w:rsidR="001F776D">
        <w:t xml:space="preserve"> that a UE has to </w:t>
      </w:r>
      <w:r w:rsidR="00F8628F">
        <w:t xml:space="preserve">always </w:t>
      </w:r>
      <w:r w:rsidR="001F776D">
        <w:t xml:space="preserve">measure all the SSBs </w:t>
      </w:r>
      <w:r w:rsidR="00F650CD">
        <w:t xml:space="preserve">included </w:t>
      </w:r>
      <w:r w:rsidR="001F776D">
        <w:t xml:space="preserve">in </w:t>
      </w:r>
      <w:r w:rsidR="001F776D" w:rsidRPr="00015E24">
        <w:rPr>
          <w:i/>
          <w:iCs/>
        </w:rPr>
        <w:t>ssb-PositionsInBurst</w:t>
      </w:r>
      <w:r w:rsidR="001F776D">
        <w:t xml:space="preserve">. Since </w:t>
      </w:r>
      <w:r w:rsidR="001F776D" w:rsidRPr="00015E24">
        <w:rPr>
          <w:i/>
          <w:iCs/>
        </w:rPr>
        <w:t>ssb-PositionsInBurst</w:t>
      </w:r>
      <w:r w:rsidR="001F776D">
        <w:t xml:space="preserve"> indicates all the transmitted SSBs in a cell, measuring all the </w:t>
      </w:r>
      <w:r w:rsidR="004438BB">
        <w:t xml:space="preserve">transmitted </w:t>
      </w:r>
      <w:r w:rsidR="001F776D">
        <w:t xml:space="preserve">SSBs </w:t>
      </w:r>
      <w:r w:rsidR="00F650CD">
        <w:t>per cell and measuring multiple cells</w:t>
      </w:r>
      <w:r w:rsidR="001F776D">
        <w:t xml:space="preserve"> </w:t>
      </w:r>
      <w:r w:rsidR="00F650CD">
        <w:t xml:space="preserve">will </w:t>
      </w:r>
      <w:r w:rsidR="00F8628F">
        <w:t xml:space="preserve">bring a heavy burden to the UE. </w:t>
      </w:r>
      <w:r w:rsidR="001F12F4">
        <w:t xml:space="preserve">In contrast, </w:t>
      </w:r>
      <w:r w:rsidR="00547803">
        <w:t xml:space="preserve">it is more reasonable to allow </w:t>
      </w:r>
      <w:r w:rsidR="00483BDA">
        <w:t>the</w:t>
      </w:r>
      <w:r w:rsidR="00547803">
        <w:t xml:space="preserve"> UE to only measure a subset of SSBs in </w:t>
      </w:r>
      <w:r w:rsidR="00547803" w:rsidRPr="00015E24">
        <w:rPr>
          <w:i/>
          <w:iCs/>
        </w:rPr>
        <w:t>ssb-PositionsInBurst</w:t>
      </w:r>
      <w:r w:rsidR="00547803">
        <w:t xml:space="preserve"> for a cell. </w:t>
      </w:r>
      <w:r w:rsidR="00243FE9">
        <w:t xml:space="preserve">To this end, it should be supported that a report is </w:t>
      </w:r>
      <w:r w:rsidR="009C2D56">
        <w:t xml:space="preserve">associated with the SSBs from multiple cells and </w:t>
      </w:r>
      <w:r w:rsidR="00243FE9">
        <w:t xml:space="preserve">associated with a subset of SSBs in </w:t>
      </w:r>
      <w:r w:rsidR="00243FE9" w:rsidRPr="00015E24">
        <w:rPr>
          <w:i/>
          <w:iCs/>
        </w:rPr>
        <w:t>ssb-PositionsInBurst</w:t>
      </w:r>
      <w:r w:rsidR="009C2D56">
        <w:t xml:space="preserve"> per cell. </w:t>
      </w:r>
      <w:r w:rsidR="0028185D">
        <w:t>As shown in Figure 1</w:t>
      </w:r>
      <w:r w:rsidR="00637E61">
        <w:t xml:space="preserve">, a report is associated with multiple subsets of SSBs in </w:t>
      </w:r>
      <w:r w:rsidR="00637E61" w:rsidRPr="00015E24">
        <w:rPr>
          <w:i/>
          <w:iCs/>
        </w:rPr>
        <w:t>ssb-PositionsInBurst</w:t>
      </w:r>
      <w:r w:rsidR="00637E61">
        <w:t xml:space="preserve">. </w:t>
      </w:r>
      <w:r w:rsidR="00FB591E">
        <w:t xml:space="preserve">In this way, </w:t>
      </w:r>
      <w:r w:rsidR="006D5D81">
        <w:t xml:space="preserve">the UE has more flexibilities on measuring the SSBs and the cells. </w:t>
      </w:r>
    </w:p>
    <w:p w14:paraId="1944AF00" w14:textId="0CA20A8D" w:rsidR="000D24DC" w:rsidRDefault="00F3700C" w:rsidP="00E235A4">
      <w:pPr>
        <w:spacing w:beforeLines="50" w:before="180"/>
        <w:jc w:val="center"/>
      </w:pPr>
      <w:r>
        <w:object w:dxaOrig="6399" w:dyaOrig="4767" w14:anchorId="73A326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8.2pt;height:177.8pt" o:ole="">
            <v:imagedata r:id="rId11" o:title=""/>
          </v:shape>
          <o:OLEObject Type="Embed" ProgID="Visio.Drawing.11" ShapeID="_x0000_i1025" DrawAspect="Content" ObjectID="_1753248712" r:id="rId12"/>
        </w:object>
      </w:r>
    </w:p>
    <w:p w14:paraId="571FDD98" w14:textId="74C2CF59" w:rsidR="00E235A4" w:rsidRPr="00E43D9C" w:rsidRDefault="00E235A4" w:rsidP="00E235A4">
      <w:pPr>
        <w:spacing w:before="100" w:beforeAutospacing="1"/>
        <w:jc w:val="center"/>
        <w:rPr>
          <w:rFonts w:eastAsia="宋体"/>
          <w:lang w:val="x-none" w:eastAsia="zh-CN"/>
        </w:rPr>
      </w:pPr>
      <w:r>
        <w:rPr>
          <w:rFonts w:eastAsia="宋体" w:hint="eastAsia"/>
          <w:lang w:eastAsia="zh-CN"/>
        </w:rPr>
        <w:t>F</w:t>
      </w:r>
      <w:r>
        <w:rPr>
          <w:rFonts w:eastAsia="宋体"/>
          <w:lang w:eastAsia="zh-CN"/>
        </w:rPr>
        <w:t xml:space="preserve">igure 1. A report associated with multiple subsets of </w:t>
      </w:r>
      <w:r w:rsidRPr="001A07A5">
        <w:rPr>
          <w:i/>
          <w:iCs/>
        </w:rPr>
        <w:t>ssb-PositionsInBurst</w:t>
      </w:r>
    </w:p>
    <w:p w14:paraId="4EAED7B4" w14:textId="3E744274" w:rsidR="00EA0F38" w:rsidRDefault="000D24DC" w:rsidP="001A07A5">
      <w:pPr>
        <w:spacing w:beforeLines="50" w:before="180"/>
        <w:rPr>
          <w:rFonts w:eastAsia="宋体"/>
          <w:lang w:val="x-none" w:eastAsia="zh-CN"/>
        </w:rPr>
      </w:pPr>
      <w:r>
        <w:t>There can be different ways o</w:t>
      </w:r>
      <w:r w:rsidR="0045260F">
        <w:t xml:space="preserve">n how to associate a report with multiple subsets of SSBs in </w:t>
      </w:r>
      <w:r w:rsidR="0045260F" w:rsidRPr="001A07A5">
        <w:rPr>
          <w:i/>
          <w:iCs/>
        </w:rPr>
        <w:t>ssb-PositionsInBurst</w:t>
      </w:r>
      <w:r>
        <w:t>.</w:t>
      </w:r>
      <w:r w:rsidR="0045260F">
        <w:t xml:space="preserve"> </w:t>
      </w:r>
      <w:r w:rsidR="00260A7A">
        <w:t>A</w:t>
      </w:r>
      <w:r w:rsidR="0045260F">
        <w:t>s an example, the multiple subsets of SSBs can be configured under the measurement configuration and the report configuration is configured to be associated with the multiple subsets of SSBs</w:t>
      </w:r>
      <w:r w:rsidR="009E3F76">
        <w:t>.</w:t>
      </w:r>
      <w:r w:rsidR="0045260F">
        <w:t xml:space="preserve"> As another example, </w:t>
      </w:r>
      <w:r w:rsidR="009E3F76">
        <w:t>the multiple subsets of SSBs can be configured under the report configuration.</w:t>
      </w:r>
    </w:p>
    <w:p w14:paraId="3C5F62EF" w14:textId="77777777" w:rsidR="00EA0F38" w:rsidRPr="00C8509B" w:rsidRDefault="00EA0F38" w:rsidP="00EA0F38">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p>
    <w:p w14:paraId="417F553E" w14:textId="4169D1FE" w:rsidR="00EA0F38" w:rsidRDefault="006C7AAF" w:rsidP="00AE504A">
      <w:pPr>
        <w:pStyle w:val="Proposal-Observation"/>
        <w:ind w:leftChars="100" w:left="660" w:right="240" w:hanging="420"/>
      </w:pPr>
      <w:r>
        <w:t>It is supported that a</w:t>
      </w:r>
      <w:r w:rsidR="00AE504A">
        <w:t xml:space="preserve"> report is associated with </w:t>
      </w:r>
      <w:r>
        <w:t xml:space="preserve">the </w:t>
      </w:r>
      <w:r w:rsidR="00AE504A">
        <w:t>SSBs of multiple cells</w:t>
      </w:r>
      <w:r>
        <w:t xml:space="preserve"> where</w:t>
      </w:r>
      <w:r w:rsidR="00AE504A">
        <w:t xml:space="preserve"> a subset of SSBs in ssb-PositionsInBurst </w:t>
      </w:r>
      <w:r>
        <w:t>can be configured for each</w:t>
      </w:r>
      <w:r w:rsidR="00AE504A">
        <w:t xml:space="preserve"> cell</w:t>
      </w:r>
      <w:r>
        <w:t>.</w:t>
      </w:r>
    </w:p>
    <w:p w14:paraId="5F281614" w14:textId="51385F28" w:rsidR="00AE504A" w:rsidRPr="00EF4B12" w:rsidRDefault="003749AA" w:rsidP="00EF4B12">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A</w:t>
      </w:r>
      <w:r w:rsidR="00AE504A" w:rsidRPr="00EF4B12">
        <w:rPr>
          <w:rFonts w:eastAsia="Microsoft YaHei UI"/>
          <w:color w:val="000000"/>
          <w:szCs w:val="24"/>
          <w:lang w:eastAsia="x-none"/>
        </w:rPr>
        <w:t xml:space="preserve"> </w:t>
      </w:r>
      <w:r w:rsidR="00AE504A">
        <w:rPr>
          <w:rFonts w:eastAsia="Microsoft YaHei UI"/>
          <w:color w:val="000000"/>
          <w:szCs w:val="24"/>
          <w:lang w:eastAsia="x-none"/>
        </w:rPr>
        <w:t xml:space="preserve">UE does not have to </w:t>
      </w:r>
      <w:r w:rsidR="006C7AAF">
        <w:rPr>
          <w:rFonts w:eastAsia="Microsoft YaHei UI"/>
          <w:color w:val="000000"/>
          <w:szCs w:val="24"/>
          <w:lang w:eastAsia="x-none"/>
        </w:rPr>
        <w:t xml:space="preserve">measure all the SSBs in </w:t>
      </w:r>
      <w:r w:rsidR="006C7AAF">
        <w:t>ssb-PositionsInBurst.</w:t>
      </w:r>
    </w:p>
    <w:p w14:paraId="5531A7FA" w14:textId="77777777" w:rsidR="00EA0F38" w:rsidRDefault="00EA0F38" w:rsidP="009612F8">
      <w:pPr>
        <w:rPr>
          <w:rFonts w:eastAsia="宋体"/>
          <w:lang w:val="x-none" w:eastAsia="zh-CN"/>
        </w:rPr>
      </w:pPr>
    </w:p>
    <w:p w14:paraId="75CD8B0D" w14:textId="0731F892" w:rsidR="006C7AAF" w:rsidRDefault="00F3700C" w:rsidP="007A0D23">
      <w:pPr>
        <w:jc w:val="center"/>
        <w:rPr>
          <w:rFonts w:eastAsia="宋体"/>
          <w:lang w:val="x-none" w:eastAsia="zh-CN"/>
        </w:rPr>
      </w:pPr>
      <w:r>
        <w:object w:dxaOrig="6399" w:dyaOrig="4075" w14:anchorId="1225199C">
          <v:shape id="_x0000_i1026" type="#_x0000_t75" style="width:238.2pt;height:151.5pt" o:ole="">
            <v:imagedata r:id="rId13" o:title=""/>
          </v:shape>
          <o:OLEObject Type="Embed" ProgID="Visio.Drawing.11" ShapeID="_x0000_i1026" DrawAspect="Content" ObjectID="_1753248713" r:id="rId14"/>
        </w:object>
      </w:r>
    </w:p>
    <w:p w14:paraId="61F177BB" w14:textId="1F07600B" w:rsidR="006A286B" w:rsidRPr="00E43D9C" w:rsidRDefault="006A286B" w:rsidP="006A286B">
      <w:pPr>
        <w:spacing w:before="100" w:beforeAutospacing="1"/>
        <w:jc w:val="center"/>
        <w:rPr>
          <w:rFonts w:eastAsia="宋体"/>
          <w:lang w:val="x-none" w:eastAsia="zh-CN"/>
        </w:rPr>
      </w:pPr>
      <w:r>
        <w:rPr>
          <w:rFonts w:eastAsia="宋体" w:hint="eastAsia"/>
          <w:lang w:eastAsia="zh-CN"/>
        </w:rPr>
        <w:t>F</w:t>
      </w:r>
      <w:r>
        <w:rPr>
          <w:rFonts w:eastAsia="宋体"/>
          <w:lang w:eastAsia="zh-CN"/>
        </w:rPr>
        <w:t xml:space="preserve">igure </w:t>
      </w:r>
      <w:r w:rsidR="0062591C">
        <w:rPr>
          <w:rFonts w:eastAsia="宋体"/>
          <w:lang w:eastAsia="zh-CN"/>
        </w:rPr>
        <w:t>2</w:t>
      </w:r>
      <w:r>
        <w:rPr>
          <w:rFonts w:eastAsia="宋体"/>
          <w:lang w:eastAsia="zh-CN"/>
        </w:rPr>
        <w:t>. L1-RSRP</w:t>
      </w:r>
      <w:r w:rsidR="00A245E4">
        <w:rPr>
          <w:rFonts w:eastAsia="宋体"/>
          <w:lang w:eastAsia="zh-CN"/>
        </w:rPr>
        <w:t>s</w:t>
      </w:r>
      <w:r>
        <w:rPr>
          <w:rFonts w:eastAsia="宋体"/>
          <w:lang w:eastAsia="zh-CN"/>
        </w:rPr>
        <w:t xml:space="preserve"> and SSBRI</w:t>
      </w:r>
      <w:r w:rsidR="00A245E4">
        <w:rPr>
          <w:rFonts w:eastAsia="宋体"/>
          <w:lang w:eastAsia="zh-CN"/>
        </w:rPr>
        <w:t>s</w:t>
      </w:r>
      <w:r>
        <w:rPr>
          <w:rFonts w:eastAsia="宋体"/>
          <w:lang w:eastAsia="zh-CN"/>
        </w:rPr>
        <w:t xml:space="preserve"> contained in a report</w:t>
      </w:r>
    </w:p>
    <w:p w14:paraId="62D256BE" w14:textId="3DE707CB" w:rsidR="006C7AAF" w:rsidRDefault="00FE3D8A" w:rsidP="00EF4B12">
      <w:pPr>
        <w:rPr>
          <w:rFonts w:eastAsia="宋体"/>
          <w:lang w:val="x-none" w:eastAsia="zh-CN"/>
        </w:rPr>
      </w:pPr>
      <w:r>
        <w:rPr>
          <w:rFonts w:eastAsia="宋体" w:hint="eastAsia"/>
          <w:lang w:val="x-none" w:eastAsia="zh-CN"/>
        </w:rPr>
        <w:t>A</w:t>
      </w:r>
      <w:r>
        <w:rPr>
          <w:rFonts w:eastAsia="宋体"/>
          <w:lang w:val="x-none" w:eastAsia="zh-CN"/>
        </w:rPr>
        <w:t xml:space="preserve">s for the contents of the report, they should include at least one L1-RSRP, and also indicate which SSB and which cell a L1-RSRP is associated with. </w:t>
      </w:r>
      <w:r w:rsidR="009754A0">
        <w:rPr>
          <w:rFonts w:eastAsia="宋体"/>
          <w:lang w:val="x-none" w:eastAsia="zh-CN"/>
        </w:rPr>
        <w:t xml:space="preserve">To identify an SSB, the SSB index is required. </w:t>
      </w:r>
      <w:r w:rsidR="009754A0">
        <w:rPr>
          <w:rFonts w:eastAsia="宋体"/>
          <w:lang w:val="x-none" w:eastAsia="zh-CN"/>
        </w:rPr>
        <w:lastRenderedPageBreak/>
        <w:t>However, to identify a cell</w:t>
      </w:r>
      <w:r w:rsidR="0004407F">
        <w:rPr>
          <w:rFonts w:eastAsia="宋体"/>
          <w:lang w:val="x-none" w:eastAsia="zh-CN"/>
        </w:rPr>
        <w:t>, a UE does not have to report the cell index</w:t>
      </w:r>
      <w:r w:rsidR="009754A0">
        <w:rPr>
          <w:rFonts w:eastAsia="宋体"/>
          <w:lang w:val="x-none" w:eastAsia="zh-CN"/>
        </w:rPr>
        <w:t>. Instead, SSBRIs can be defined as the global indexes of all the SSBs associated with the report</w:t>
      </w:r>
      <w:r w:rsidR="00E42903">
        <w:rPr>
          <w:rFonts w:eastAsia="宋体"/>
          <w:lang w:val="x-none" w:eastAsia="zh-CN"/>
        </w:rPr>
        <w:t xml:space="preserve">. Therefore, an SSBRI can convey </w:t>
      </w:r>
      <w:r w:rsidR="00DE3B1E">
        <w:rPr>
          <w:rFonts w:eastAsia="宋体"/>
          <w:lang w:val="x-none" w:eastAsia="zh-CN"/>
        </w:rPr>
        <w:t xml:space="preserve">the information on </w:t>
      </w:r>
      <w:r w:rsidR="00E42903">
        <w:rPr>
          <w:rFonts w:eastAsia="宋体"/>
          <w:lang w:val="x-none" w:eastAsia="zh-CN"/>
        </w:rPr>
        <w:t xml:space="preserve">both the SSB index and the cell index. Especially when </w:t>
      </w:r>
      <w:r w:rsidR="00E42903">
        <w:rPr>
          <w:rFonts w:eastAsia="宋体"/>
          <w:lang w:eastAsia="zh-CN"/>
        </w:rPr>
        <w:t xml:space="preserve">a report is associated with multiple subsets of </w:t>
      </w:r>
      <w:r w:rsidR="00E42903" w:rsidRPr="00696010">
        <w:rPr>
          <w:i/>
          <w:iCs/>
        </w:rPr>
        <w:t>ssb-PositionsInBurst</w:t>
      </w:r>
      <w:r w:rsidR="00E42903">
        <w:rPr>
          <w:rFonts w:eastAsia="宋体"/>
          <w:lang w:val="x-none" w:eastAsia="zh-CN"/>
        </w:rPr>
        <w:t xml:space="preserve"> as in Figure 1, it </w:t>
      </w:r>
      <w:r w:rsidR="00DE3B1E">
        <w:rPr>
          <w:rFonts w:eastAsia="宋体"/>
          <w:lang w:val="x-none" w:eastAsia="zh-CN"/>
        </w:rPr>
        <w:t>is</w:t>
      </w:r>
      <w:r w:rsidR="00E42903">
        <w:rPr>
          <w:rFonts w:eastAsia="宋体"/>
          <w:lang w:val="x-none" w:eastAsia="zh-CN"/>
        </w:rPr>
        <w:t xml:space="preserve"> more suitable </w:t>
      </w:r>
      <w:r w:rsidR="00FB199C">
        <w:rPr>
          <w:rFonts w:eastAsia="宋体"/>
          <w:lang w:val="x-none" w:eastAsia="zh-CN"/>
        </w:rPr>
        <w:t xml:space="preserve">and more efficient </w:t>
      </w:r>
      <w:r w:rsidR="00E42903">
        <w:rPr>
          <w:rFonts w:eastAsia="宋体"/>
          <w:lang w:val="x-none" w:eastAsia="zh-CN"/>
        </w:rPr>
        <w:t xml:space="preserve">to </w:t>
      </w:r>
      <w:r w:rsidR="00FB199C">
        <w:rPr>
          <w:rFonts w:eastAsia="宋体"/>
          <w:lang w:val="x-none" w:eastAsia="zh-CN"/>
        </w:rPr>
        <w:t>use a SSBRI as an identifier for both the SSB and the cell.</w:t>
      </w:r>
      <w:r w:rsidR="00DE3B1E">
        <w:rPr>
          <w:rFonts w:eastAsia="宋体"/>
          <w:lang w:val="x-none" w:eastAsia="zh-CN"/>
        </w:rPr>
        <w:t xml:space="preserve"> In this case, </w:t>
      </w:r>
      <w:r w:rsidR="009D7BB1">
        <w:rPr>
          <w:rFonts w:eastAsia="宋体"/>
          <w:lang w:val="x-none" w:eastAsia="zh-CN"/>
        </w:rPr>
        <w:t xml:space="preserve">it is actually reusing the design principle </w:t>
      </w:r>
      <w:r w:rsidR="00CF100B">
        <w:rPr>
          <w:rFonts w:eastAsia="宋体"/>
          <w:lang w:val="x-none" w:eastAsia="zh-CN"/>
        </w:rPr>
        <w:t>of</w:t>
      </w:r>
      <w:r w:rsidR="009D7BB1">
        <w:rPr>
          <w:rFonts w:eastAsia="宋体"/>
          <w:lang w:val="x-none" w:eastAsia="zh-CN"/>
        </w:rPr>
        <w:t xml:space="preserve"> Rel-17 ICBM</w:t>
      </w:r>
      <w:r w:rsidR="00CF100B">
        <w:rPr>
          <w:rFonts w:eastAsia="宋体"/>
          <w:lang w:val="x-none" w:eastAsia="zh-CN"/>
        </w:rPr>
        <w:t xml:space="preserve">, and thus requires less standardization work. </w:t>
      </w:r>
      <w:r w:rsidR="003D1FA9">
        <w:rPr>
          <w:rFonts w:eastAsia="宋体"/>
          <w:lang w:val="x-none" w:eastAsia="zh-CN"/>
        </w:rPr>
        <w:t xml:space="preserve">Figure 2 provides </w:t>
      </w:r>
      <w:r w:rsidR="00AF625B">
        <w:rPr>
          <w:rFonts w:eastAsia="宋体"/>
          <w:lang w:val="x-none" w:eastAsia="zh-CN"/>
        </w:rPr>
        <w:t>an example where a report includes L1-RSRPs and</w:t>
      </w:r>
      <w:r w:rsidR="009D51E2">
        <w:rPr>
          <w:rFonts w:eastAsia="宋体"/>
          <w:lang w:val="x-none" w:eastAsia="zh-CN"/>
        </w:rPr>
        <w:t xml:space="preserve"> the associated</w:t>
      </w:r>
      <w:r w:rsidR="00AF625B">
        <w:rPr>
          <w:rFonts w:eastAsia="宋体"/>
          <w:lang w:val="x-none" w:eastAsia="zh-CN"/>
        </w:rPr>
        <w:t xml:space="preserve"> SSBRIs.</w:t>
      </w:r>
    </w:p>
    <w:p w14:paraId="0FA40FE1" w14:textId="7C60975E" w:rsidR="006C7AAF" w:rsidRPr="00C8509B" w:rsidRDefault="006C7AAF" w:rsidP="006C7AAF">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2</w:t>
      </w:r>
    </w:p>
    <w:p w14:paraId="2401EA48" w14:textId="679E429D" w:rsidR="006C7AAF" w:rsidRDefault="003749AA" w:rsidP="006C7AAF">
      <w:pPr>
        <w:pStyle w:val="Proposal-Observation"/>
        <w:ind w:leftChars="100" w:left="660" w:right="240" w:hanging="420"/>
      </w:pPr>
      <w:r>
        <w:t>A report</w:t>
      </w:r>
      <w:r w:rsidR="006C7AAF">
        <w:t xml:space="preserve"> includes L1-RSRPs and SSBRIs where SSBRIs are the global indexes </w:t>
      </w:r>
      <w:r>
        <w:t>of the SSBs</w:t>
      </w:r>
      <w:r w:rsidRPr="003749AA">
        <w:t xml:space="preserve"> </w:t>
      </w:r>
      <w:r>
        <w:t>associated with the report</w:t>
      </w:r>
      <w:r w:rsidR="006C7AAF">
        <w:t>.</w:t>
      </w:r>
    </w:p>
    <w:p w14:paraId="5CCEA7A6" w14:textId="21DA9218" w:rsidR="003749AA" w:rsidRPr="00EF4B12" w:rsidRDefault="003749AA" w:rsidP="00EF4B12">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 xml:space="preserve">A UE does not </w:t>
      </w:r>
      <w:r w:rsidR="0004407F">
        <w:rPr>
          <w:rFonts w:eastAsia="Microsoft YaHei UI"/>
          <w:color w:val="000000"/>
          <w:szCs w:val="24"/>
          <w:lang w:eastAsia="x-none"/>
        </w:rPr>
        <w:t xml:space="preserve">need to </w:t>
      </w:r>
      <w:r>
        <w:rPr>
          <w:rFonts w:eastAsia="Microsoft YaHei UI"/>
          <w:color w:val="000000"/>
          <w:szCs w:val="24"/>
          <w:lang w:eastAsia="x-none"/>
        </w:rPr>
        <w:t xml:space="preserve">report </w:t>
      </w:r>
      <w:r w:rsidR="00DD2219">
        <w:rPr>
          <w:rFonts w:eastAsia="Microsoft YaHei UI"/>
          <w:color w:val="000000"/>
          <w:szCs w:val="24"/>
          <w:lang w:eastAsia="x-none"/>
        </w:rPr>
        <w:t xml:space="preserve">the </w:t>
      </w:r>
      <w:r>
        <w:rPr>
          <w:rFonts w:eastAsia="Microsoft YaHei UI"/>
          <w:color w:val="000000"/>
          <w:szCs w:val="24"/>
          <w:lang w:eastAsia="x-none"/>
        </w:rPr>
        <w:t>cell index</w:t>
      </w:r>
      <w:r w:rsidR="00DD2219">
        <w:rPr>
          <w:rFonts w:eastAsia="Microsoft YaHei UI"/>
          <w:color w:val="000000"/>
          <w:szCs w:val="24"/>
          <w:lang w:eastAsia="x-none"/>
        </w:rPr>
        <w:t>es.</w:t>
      </w:r>
    </w:p>
    <w:p w14:paraId="70D79614" w14:textId="77777777" w:rsidR="006C7AAF" w:rsidRDefault="006C7AAF" w:rsidP="006C7AAF">
      <w:pPr>
        <w:rPr>
          <w:rFonts w:eastAsia="宋体"/>
          <w:lang w:val="en-US" w:eastAsia="zh-CN"/>
        </w:rPr>
      </w:pPr>
    </w:p>
    <w:p w14:paraId="0E87F54E" w14:textId="7ADE1B27" w:rsidR="000F7C81" w:rsidRDefault="000F7C81" w:rsidP="000F7C81">
      <w:pPr>
        <w:rPr>
          <w:lang w:val="x-none"/>
        </w:rPr>
      </w:pPr>
      <w:r>
        <w:rPr>
          <w:rFonts w:eastAsia="宋体"/>
          <w:lang w:val="x-none" w:eastAsia="zh-CN"/>
        </w:rPr>
        <w:t xml:space="preserve">In the RAN1#113 meeting, the following has been </w:t>
      </w:r>
      <w:r w:rsidR="00E46D5D">
        <w:rPr>
          <w:rFonts w:eastAsia="宋体"/>
          <w:lang w:val="x-none" w:eastAsia="zh-CN"/>
        </w:rPr>
        <w:t>captured in the FL summary</w:t>
      </w:r>
      <w:r>
        <w:rPr>
          <w:rFonts w:eastAsia="宋体"/>
          <w:lang w:val="x-none" w:eastAsia="zh-CN"/>
        </w:rPr>
        <w:t xml:space="preserve"> [</w:t>
      </w:r>
      <w:r w:rsidR="00E46D5D">
        <w:rPr>
          <w:rFonts w:eastAsia="宋体"/>
          <w:lang w:val="x-none" w:eastAsia="zh-CN"/>
        </w:rPr>
        <w:t>2</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0F7C81" w:rsidRPr="00980D20" w14:paraId="50858590" w14:textId="77777777" w:rsidTr="00696010">
        <w:trPr>
          <w:jc w:val="center"/>
        </w:trPr>
        <w:tc>
          <w:tcPr>
            <w:tcW w:w="9962" w:type="dxa"/>
          </w:tcPr>
          <w:p w14:paraId="2B227EA3" w14:textId="17BCB02B" w:rsidR="00457D0F" w:rsidRPr="007A0D23" w:rsidRDefault="00457D0F" w:rsidP="007A0D23">
            <w:pPr>
              <w:spacing w:after="0" w:afterAutospacing="0"/>
              <w:ind w:left="357" w:hanging="357"/>
              <w:rPr>
                <w:rFonts w:eastAsia="宋体"/>
                <w:b/>
                <w:bCs/>
                <w:lang w:eastAsia="zh-CN"/>
              </w:rPr>
            </w:pPr>
            <w:r w:rsidRPr="007A0D23">
              <w:rPr>
                <w:rFonts w:eastAsia="宋体" w:hint="eastAsia"/>
                <w:b/>
                <w:bCs/>
                <w:lang w:eastAsia="zh-CN"/>
              </w:rPr>
              <w:t>[</w:t>
            </w:r>
            <w:r w:rsidRPr="007A0D23">
              <w:rPr>
                <w:rFonts w:eastAsia="宋体"/>
                <w:b/>
                <w:bCs/>
                <w:lang w:eastAsia="zh-CN"/>
              </w:rPr>
              <w:t>FL Conclusion]</w:t>
            </w:r>
          </w:p>
          <w:p w14:paraId="1D423281" w14:textId="5A207B2E" w:rsidR="000F7C81" w:rsidRPr="00FA305D" w:rsidRDefault="000F7C81" w:rsidP="000F7C81">
            <w:pPr>
              <w:pStyle w:val="a"/>
              <w:numPr>
                <w:ilvl w:val="0"/>
                <w:numId w:val="8"/>
              </w:numPr>
            </w:pPr>
            <w:r w:rsidRPr="00FA305D">
              <w:t xml:space="preserve">For the report of SSB based L1-RSRP, </w:t>
            </w:r>
          </w:p>
          <w:p w14:paraId="0F984A9E" w14:textId="77777777" w:rsidR="000F7C81" w:rsidRPr="00FA305D" w:rsidRDefault="000F7C81" w:rsidP="000F7C81">
            <w:pPr>
              <w:pStyle w:val="a"/>
              <w:numPr>
                <w:ilvl w:val="1"/>
                <w:numId w:val="8"/>
              </w:numPr>
            </w:pPr>
            <w:r w:rsidRPr="00FA305D">
              <w:rPr>
                <w:bCs/>
                <w:lang w:eastAsia="zh-CN"/>
              </w:rPr>
              <w:t>L1-RSRP is quantized to a 7-bit value in the range [-140, -44] dBm with 1dB step size, and the remaining RSRP values are indicated with a differential L1-RSRP quantized to a 4-bit value where the differential L1-RSRP value is computed with 2 dB step size with a reference to the largest measured L1-RSRP value</w:t>
            </w:r>
          </w:p>
          <w:p w14:paraId="60735B60" w14:textId="77777777" w:rsidR="000F7C81" w:rsidRPr="00FA305D" w:rsidRDefault="000F7C81" w:rsidP="000F7C81">
            <w:pPr>
              <w:pStyle w:val="a"/>
              <w:numPr>
                <w:ilvl w:val="1"/>
                <w:numId w:val="8"/>
              </w:numPr>
            </w:pPr>
            <w:r w:rsidRPr="00FA305D">
              <w:rPr>
                <w:bCs/>
                <w:lang w:eastAsia="zh-CN"/>
              </w:rPr>
              <w:t>The following option is down-selected in RAN1#114</w:t>
            </w:r>
          </w:p>
          <w:p w14:paraId="448552C2" w14:textId="77777777" w:rsidR="000F7C81" w:rsidRPr="00FA305D" w:rsidRDefault="000F7C81" w:rsidP="000F7C81">
            <w:pPr>
              <w:pStyle w:val="a"/>
              <w:numPr>
                <w:ilvl w:val="2"/>
                <w:numId w:val="8"/>
              </w:numPr>
            </w:pPr>
            <w:r w:rsidRPr="00FA305D">
              <w:t>Option A: Differential encoding is performed per cell, i.e. for each cell, a beam to apply absolute L1-RSRP is chosen among M beams and the differential L1-RSRP is applied to M-1 beams</w:t>
            </w:r>
          </w:p>
          <w:p w14:paraId="49C4B0FF" w14:textId="77777777" w:rsidR="000F7C81" w:rsidRDefault="000F7C81" w:rsidP="000F7C81">
            <w:pPr>
              <w:pStyle w:val="a"/>
              <w:numPr>
                <w:ilvl w:val="2"/>
                <w:numId w:val="8"/>
              </w:numPr>
            </w:pPr>
            <w:r w:rsidRPr="00FA305D">
              <w:t>Option B: a beam to apply absolute L1-RSRP is chosen among M *L beams and the differential L1-RSRP is applied to M*L-1 beams</w:t>
            </w:r>
          </w:p>
          <w:p w14:paraId="19C6FC48" w14:textId="77777777" w:rsidR="000F7C81" w:rsidRDefault="000F7C81" w:rsidP="000F7C81">
            <w:pPr>
              <w:pStyle w:val="a"/>
              <w:numPr>
                <w:ilvl w:val="2"/>
                <w:numId w:val="8"/>
              </w:numPr>
            </w:pPr>
            <w:r>
              <w:t xml:space="preserve">Option C:  Take the following 2-step approach </w:t>
            </w:r>
          </w:p>
          <w:p w14:paraId="01C9213D" w14:textId="77777777" w:rsidR="000F7C81" w:rsidRDefault="000F7C81" w:rsidP="000F7C81">
            <w:pPr>
              <w:pStyle w:val="a"/>
              <w:numPr>
                <w:ilvl w:val="3"/>
                <w:numId w:val="8"/>
              </w:numPr>
            </w:pPr>
            <w:r>
              <w:t>Step one: Differential encoding is performed per cell, i.e. for each cell, a beam to apply absolute L1-RSRP is chosen among M beams and the differential L1-RSRP is applied to M-1 beams.</w:t>
            </w:r>
          </w:p>
          <w:p w14:paraId="144FB2A8" w14:textId="2BDA0106" w:rsidR="000F7C81" w:rsidRPr="00EF6180" w:rsidRDefault="000F7C81" w:rsidP="007A0D23">
            <w:pPr>
              <w:pStyle w:val="a"/>
              <w:numPr>
                <w:ilvl w:val="3"/>
                <w:numId w:val="8"/>
              </w:numPr>
              <w:tabs>
                <w:tab w:val="left" w:pos="2160"/>
              </w:tabs>
              <w:spacing w:afterLines="50" w:after="180" w:afterAutospacing="0"/>
              <w:ind w:left="1679"/>
            </w:pPr>
            <w:r>
              <w:t>Step two: a beam to apply absolute L1-RSRP is chosen among L beams applying absolute L1-RSRP in step one and the differential L1-RSRP is applied to L-1 beams.</w:t>
            </w:r>
          </w:p>
        </w:tc>
      </w:tr>
    </w:tbl>
    <w:p w14:paraId="7211E5B7" w14:textId="753B399E" w:rsidR="00A93F71" w:rsidRDefault="00E46D5D" w:rsidP="007A0D23">
      <w:pPr>
        <w:spacing w:beforeLines="50" w:before="180"/>
        <w:rPr>
          <w:rFonts w:eastAsia="宋体"/>
          <w:lang w:val="en-US" w:eastAsia="zh-CN"/>
        </w:rPr>
      </w:pPr>
      <w:r>
        <w:rPr>
          <w:rFonts w:eastAsia="宋体"/>
          <w:lang w:val="x-none" w:eastAsia="zh-CN"/>
        </w:rPr>
        <w:t>As for the L1-RSRP quantiza</w:t>
      </w:r>
      <w:r w:rsidR="00D1008C">
        <w:rPr>
          <w:rFonts w:eastAsia="宋体"/>
          <w:lang w:val="x-none" w:eastAsia="zh-CN"/>
        </w:rPr>
        <w:t>ti</w:t>
      </w:r>
      <w:r>
        <w:rPr>
          <w:rFonts w:eastAsia="宋体"/>
          <w:lang w:val="x-none" w:eastAsia="zh-CN"/>
        </w:rPr>
        <w:t>on</w:t>
      </w:r>
      <w:r w:rsidR="000F7C81">
        <w:rPr>
          <w:rFonts w:eastAsia="宋体"/>
          <w:lang w:val="x-none" w:eastAsia="zh-CN"/>
        </w:rPr>
        <w:t xml:space="preserve">, </w:t>
      </w:r>
      <w:r>
        <w:rPr>
          <w:rFonts w:eastAsia="宋体"/>
          <w:lang w:val="x-none" w:eastAsia="zh-CN"/>
        </w:rPr>
        <w:t>it is required to perform down-selection among several options in RAN1#114.</w:t>
      </w:r>
      <w:r w:rsidR="00416FDE">
        <w:rPr>
          <w:rFonts w:eastAsia="宋体"/>
          <w:lang w:val="x-none" w:eastAsia="zh-CN"/>
        </w:rPr>
        <w:t xml:space="preserve"> </w:t>
      </w:r>
      <w:r w:rsidR="00076222">
        <w:rPr>
          <w:rFonts w:eastAsia="宋体"/>
          <w:lang w:val="x-none" w:eastAsia="zh-CN"/>
        </w:rPr>
        <w:t>To better support the scenario of the inter-frequency measurement</w:t>
      </w:r>
      <w:r w:rsidR="00416FDE">
        <w:rPr>
          <w:rFonts w:eastAsia="宋体"/>
          <w:lang w:val="x-none" w:eastAsia="zh-CN"/>
        </w:rPr>
        <w:t xml:space="preserve">, </w:t>
      </w:r>
      <w:r w:rsidR="005A2B5F">
        <w:rPr>
          <w:rFonts w:eastAsia="宋体"/>
          <w:lang w:val="x-none" w:eastAsia="zh-CN"/>
        </w:rPr>
        <w:t xml:space="preserve">Option A is preferred where differential encoding </w:t>
      </w:r>
      <w:r w:rsidR="00EB5DF0">
        <w:rPr>
          <w:rFonts w:eastAsia="宋体"/>
          <w:lang w:val="x-none" w:eastAsia="zh-CN"/>
        </w:rPr>
        <w:t xml:space="preserve">is performed per cell. </w:t>
      </w:r>
      <w:r w:rsidR="005D21A2">
        <w:rPr>
          <w:rFonts w:eastAsia="宋体"/>
          <w:lang w:val="x-none" w:eastAsia="zh-CN"/>
        </w:rPr>
        <w:t xml:space="preserve">In Rel-17 ICBM, differential encoding is performed among all the reported cells, i.e., Option B is supported. </w:t>
      </w:r>
      <w:r w:rsidR="00B27C7A">
        <w:rPr>
          <w:rFonts w:eastAsia="宋体"/>
          <w:lang w:val="x-none" w:eastAsia="zh-CN"/>
        </w:rPr>
        <w:t xml:space="preserve">However, Rel-17 ICBM only supports the intra-frequency measurement. </w:t>
      </w:r>
      <w:r w:rsidR="003848B5">
        <w:rPr>
          <w:rFonts w:eastAsia="宋体"/>
          <w:lang w:val="x-none" w:eastAsia="zh-CN"/>
        </w:rPr>
        <w:t xml:space="preserve">Different from it, Rel-18 LTM </w:t>
      </w:r>
      <w:r w:rsidR="0088717F">
        <w:rPr>
          <w:rFonts w:eastAsia="宋体"/>
          <w:lang w:val="x-none" w:eastAsia="zh-CN"/>
        </w:rPr>
        <w:t xml:space="preserve">supports both the intra-frequency and the inter-frequency measurements. In the inter-frequency scenario, </w:t>
      </w:r>
      <w:r w:rsidR="00F9574C">
        <w:rPr>
          <w:rFonts w:eastAsia="宋体"/>
          <w:lang w:val="x-none" w:eastAsia="zh-CN"/>
        </w:rPr>
        <w:t xml:space="preserve">two inter-frequency cells </w:t>
      </w:r>
      <w:r w:rsidR="00E22CF4">
        <w:rPr>
          <w:rFonts w:eastAsia="宋体"/>
          <w:lang w:val="x-none" w:eastAsia="zh-CN"/>
        </w:rPr>
        <w:t>are widely separated in the frequency domain, and thus can</w:t>
      </w:r>
      <w:r w:rsidR="00CB6F03">
        <w:rPr>
          <w:rFonts w:eastAsia="宋体"/>
          <w:lang w:val="x-none" w:eastAsia="zh-CN"/>
        </w:rPr>
        <w:t xml:space="preserve"> have large</w:t>
      </w:r>
      <w:r w:rsidR="00B50B4B">
        <w:rPr>
          <w:rFonts w:eastAsia="宋体"/>
          <w:lang w:val="x-none" w:eastAsia="zh-CN"/>
        </w:rPr>
        <w:t>r</w:t>
      </w:r>
      <w:r w:rsidR="00CB6F03">
        <w:rPr>
          <w:rFonts w:eastAsia="宋体"/>
          <w:lang w:val="x-none" w:eastAsia="zh-CN"/>
        </w:rPr>
        <w:t xml:space="preserve"> variations in the measured L1-RSRPs. For </w:t>
      </w:r>
      <w:r w:rsidR="009D7BFB">
        <w:rPr>
          <w:rFonts w:eastAsia="宋体" w:hint="eastAsia"/>
          <w:lang w:val="x-none" w:eastAsia="zh-CN"/>
        </w:rPr>
        <w:t>two</w:t>
      </w:r>
      <w:r w:rsidR="00CB6F03">
        <w:rPr>
          <w:rFonts w:eastAsia="宋体"/>
          <w:lang w:val="x-none" w:eastAsia="zh-CN"/>
        </w:rPr>
        <w:t xml:space="preserve"> L1-RSRPs</w:t>
      </w:r>
      <w:r w:rsidR="009D7BFB">
        <w:rPr>
          <w:rFonts w:eastAsia="宋体"/>
          <w:lang w:val="x-none" w:eastAsia="zh-CN"/>
        </w:rPr>
        <w:t xml:space="preserve"> with a </w:t>
      </w:r>
      <w:r w:rsidR="00CB45D0">
        <w:rPr>
          <w:rFonts w:eastAsia="宋体"/>
          <w:lang w:val="x-none" w:eastAsia="zh-CN"/>
        </w:rPr>
        <w:t xml:space="preserve">very </w:t>
      </w:r>
      <w:r w:rsidR="009D7BFB">
        <w:rPr>
          <w:rFonts w:eastAsia="宋体"/>
          <w:lang w:val="x-none" w:eastAsia="zh-CN"/>
        </w:rPr>
        <w:t>large difference</w:t>
      </w:r>
      <w:r w:rsidR="00525311">
        <w:rPr>
          <w:rFonts w:eastAsia="宋体"/>
          <w:lang w:val="x-none" w:eastAsia="zh-CN"/>
        </w:rPr>
        <w:t xml:space="preserve">, it is not suitable to </w:t>
      </w:r>
      <w:r w:rsidR="00A80ECA">
        <w:rPr>
          <w:rFonts w:eastAsia="宋体"/>
          <w:lang w:val="x-none" w:eastAsia="zh-CN"/>
        </w:rPr>
        <w:t>perform</w:t>
      </w:r>
      <w:r w:rsidR="00525311">
        <w:rPr>
          <w:rFonts w:eastAsia="宋体"/>
          <w:lang w:val="x-none" w:eastAsia="zh-CN"/>
        </w:rPr>
        <w:t xml:space="preserve"> differential encoding among </w:t>
      </w:r>
      <w:r w:rsidR="00B50B4B">
        <w:rPr>
          <w:rFonts w:eastAsia="宋体"/>
          <w:lang w:val="x-none" w:eastAsia="zh-CN"/>
        </w:rPr>
        <w:lastRenderedPageBreak/>
        <w:t>them</w:t>
      </w:r>
      <w:r w:rsidR="00862043">
        <w:rPr>
          <w:rFonts w:eastAsia="宋体"/>
          <w:lang w:val="x-none" w:eastAsia="zh-CN"/>
        </w:rPr>
        <w:t xml:space="preserve">. In an extreme case, </w:t>
      </w:r>
      <w:r w:rsidR="00273A5C">
        <w:rPr>
          <w:rFonts w:eastAsia="宋体"/>
          <w:lang w:val="x-none" w:eastAsia="zh-CN"/>
        </w:rPr>
        <w:t xml:space="preserve">the difference can be </w:t>
      </w:r>
      <w:r w:rsidR="00C0060D">
        <w:rPr>
          <w:rFonts w:eastAsia="宋体"/>
          <w:lang w:val="x-none" w:eastAsia="zh-CN"/>
        </w:rPr>
        <w:t>out of the quantization range</w:t>
      </w:r>
      <w:r w:rsidR="00273A5C">
        <w:rPr>
          <w:rFonts w:eastAsia="宋体"/>
          <w:lang w:val="x-none" w:eastAsia="zh-CN"/>
        </w:rPr>
        <w:t xml:space="preserve"> so that a differential L1-RSRP </w:t>
      </w:r>
      <w:r w:rsidR="00A769AA">
        <w:rPr>
          <w:rFonts w:eastAsia="宋体"/>
          <w:lang w:val="x-none" w:eastAsia="zh-CN"/>
        </w:rPr>
        <w:t>cannot be denoted as a 4-bit value with a 2-dB step</w:t>
      </w:r>
      <w:r w:rsidR="00CB45D0">
        <w:rPr>
          <w:rFonts w:eastAsia="宋体"/>
          <w:lang w:val="x-none" w:eastAsia="zh-CN"/>
        </w:rPr>
        <w:t xml:space="preserve"> with reference to an absolute L1-RSRP</w:t>
      </w:r>
      <w:r w:rsidR="00A769AA">
        <w:rPr>
          <w:rFonts w:eastAsia="宋体"/>
          <w:lang w:val="x-none" w:eastAsia="zh-CN"/>
        </w:rPr>
        <w:t>.</w:t>
      </w:r>
      <w:r w:rsidR="006779D2">
        <w:rPr>
          <w:rFonts w:eastAsia="宋体"/>
          <w:lang w:val="x-none" w:eastAsia="zh-CN"/>
        </w:rPr>
        <w:t xml:space="preserve"> </w:t>
      </w:r>
      <w:r w:rsidR="004F527B">
        <w:rPr>
          <w:rFonts w:eastAsia="宋体"/>
          <w:lang w:val="x-none" w:eastAsia="zh-CN"/>
        </w:rPr>
        <w:t>T</w:t>
      </w:r>
      <w:r w:rsidR="004F527B">
        <w:rPr>
          <w:rFonts w:eastAsia="宋体" w:hint="eastAsia"/>
          <w:lang w:val="x-none" w:eastAsia="zh-CN"/>
        </w:rPr>
        <w:t>here</w:t>
      </w:r>
      <w:r w:rsidR="004F527B">
        <w:rPr>
          <w:rFonts w:eastAsia="宋体"/>
          <w:lang w:val="x-none" w:eastAsia="zh-CN"/>
        </w:rPr>
        <w:t>fore</w:t>
      </w:r>
      <w:r w:rsidR="006779D2">
        <w:rPr>
          <w:rFonts w:eastAsia="宋体"/>
          <w:lang w:val="x-none" w:eastAsia="zh-CN"/>
        </w:rPr>
        <w:t xml:space="preserve">, it is not </w:t>
      </w:r>
      <w:r w:rsidR="004F527B">
        <w:rPr>
          <w:rFonts w:eastAsia="宋体"/>
          <w:lang w:val="x-none" w:eastAsia="zh-CN"/>
        </w:rPr>
        <w:t>desirable</w:t>
      </w:r>
      <w:r w:rsidR="006779D2">
        <w:rPr>
          <w:rFonts w:eastAsia="宋体"/>
          <w:lang w:val="x-none" w:eastAsia="zh-CN"/>
        </w:rPr>
        <w:t xml:space="preserve"> to perform differential encoding across the inter-frequency cells</w:t>
      </w:r>
      <w:r w:rsidR="004F527B">
        <w:rPr>
          <w:rFonts w:eastAsia="宋体"/>
          <w:lang w:val="x-none" w:eastAsia="zh-CN"/>
        </w:rPr>
        <w:t xml:space="preserve">. </w:t>
      </w:r>
      <w:r w:rsidR="004F527B">
        <w:rPr>
          <w:rFonts w:eastAsia="宋体" w:hint="eastAsia"/>
          <w:lang w:val="en-US" w:eastAsia="zh-CN"/>
        </w:rPr>
        <w:t>I</w:t>
      </w:r>
      <w:r w:rsidR="004F527B">
        <w:rPr>
          <w:rFonts w:eastAsia="宋体"/>
          <w:lang w:val="en-US" w:eastAsia="zh-CN"/>
        </w:rPr>
        <w:t>nstead, it would be safer to perform differential encoding per cell</w:t>
      </w:r>
      <w:r w:rsidR="008630B8">
        <w:rPr>
          <w:rFonts w:eastAsia="宋体"/>
          <w:lang w:val="en-US" w:eastAsia="zh-CN"/>
        </w:rPr>
        <w:t>, i.e., to support Option A</w:t>
      </w:r>
      <w:r w:rsidR="004F527B">
        <w:rPr>
          <w:rFonts w:eastAsia="宋体"/>
          <w:lang w:val="en-US" w:eastAsia="zh-CN"/>
        </w:rPr>
        <w:t>.</w:t>
      </w:r>
      <w:r w:rsidR="004B7549">
        <w:rPr>
          <w:rFonts w:eastAsia="宋体"/>
          <w:lang w:val="en-US" w:eastAsia="zh-CN"/>
        </w:rPr>
        <w:t xml:space="preserve"> As for Option C, differential encoding is performed among inter-frequency cells in the second step</w:t>
      </w:r>
      <w:r w:rsidR="000D6145">
        <w:rPr>
          <w:rFonts w:eastAsia="宋体"/>
          <w:lang w:val="en-US" w:eastAsia="zh-CN"/>
        </w:rPr>
        <w:t xml:space="preserve">. On this point, Option C is the same as Option B, and thus is not preferred based on the previous analysis. Besides, the necessity to use two steps in Option C is not clear. Since both Option B and Option C will </w:t>
      </w:r>
      <w:r w:rsidR="003D381C">
        <w:rPr>
          <w:rFonts w:eastAsia="宋体"/>
          <w:lang w:val="en-US" w:eastAsia="zh-CN"/>
        </w:rPr>
        <w:t>result in one</w:t>
      </w:r>
      <w:r w:rsidR="000D6145">
        <w:rPr>
          <w:rFonts w:eastAsia="宋体"/>
          <w:lang w:val="en-US" w:eastAsia="zh-CN"/>
        </w:rPr>
        <w:t xml:space="preserve"> absolute L1-RSRP and </w:t>
      </w:r>
      <w:r w:rsidR="003D381C">
        <w:rPr>
          <w:rFonts w:eastAsia="宋体"/>
          <w:lang w:val="en-US" w:eastAsia="zh-CN"/>
        </w:rPr>
        <w:t xml:space="preserve">other several differential </w:t>
      </w:r>
      <w:r w:rsidR="000D6145">
        <w:rPr>
          <w:rFonts w:eastAsia="宋体"/>
          <w:lang w:val="en-US" w:eastAsia="zh-CN"/>
        </w:rPr>
        <w:t>L1-RSRPs</w:t>
      </w:r>
      <w:r w:rsidR="003D381C">
        <w:rPr>
          <w:rFonts w:eastAsia="宋体"/>
          <w:lang w:val="en-US" w:eastAsia="zh-CN"/>
        </w:rPr>
        <w:t>, we don</w:t>
      </w:r>
      <w:r w:rsidR="003D381C">
        <w:rPr>
          <w:rFonts w:eastAsia="宋体"/>
          <w:lang w:val="x-none" w:eastAsia="zh-CN"/>
        </w:rPr>
        <w:t>’t see the need to use 2-step differential encoding to get those differential L1-RSRPs</w:t>
      </w:r>
      <w:r w:rsidR="00D07BFB">
        <w:rPr>
          <w:rFonts w:eastAsia="宋体"/>
          <w:lang w:val="x-none" w:eastAsia="zh-CN"/>
        </w:rPr>
        <w:t xml:space="preserve"> in Option C</w:t>
      </w:r>
      <w:r w:rsidR="003D381C">
        <w:rPr>
          <w:rFonts w:eastAsia="宋体"/>
          <w:lang w:val="x-none" w:eastAsia="zh-CN"/>
        </w:rPr>
        <w:t>.</w:t>
      </w:r>
    </w:p>
    <w:p w14:paraId="4B6A86D3" w14:textId="77777777" w:rsidR="009353BF" w:rsidRPr="00EF4B12" w:rsidRDefault="00A93F71" w:rsidP="00EF4B12">
      <w:pPr>
        <w:rPr>
          <w:b/>
          <w:bCs/>
          <w:u w:val="single"/>
          <w:lang w:val="x-none"/>
        </w:rPr>
      </w:pPr>
      <w:r w:rsidRPr="00EF4B12">
        <w:rPr>
          <w:b/>
          <w:bCs/>
          <w:u w:val="single"/>
          <w:lang w:val="x-none"/>
        </w:rPr>
        <w:t xml:space="preserve">Proposal 3: </w:t>
      </w:r>
    </w:p>
    <w:p w14:paraId="5E240C63" w14:textId="66B603FD" w:rsidR="00A93F71" w:rsidRPr="00EF4B12" w:rsidRDefault="00A93F71" w:rsidP="00EF4B12">
      <w:pPr>
        <w:pStyle w:val="Proposal-Observation"/>
        <w:ind w:leftChars="100" w:left="660" w:right="240" w:hanging="420"/>
      </w:pPr>
      <w:r w:rsidRPr="00EF4B12">
        <w:t>As for</w:t>
      </w:r>
      <w:r w:rsidR="009353BF">
        <w:t xml:space="preserve"> the</w:t>
      </w:r>
      <w:r w:rsidRPr="00EF4B12">
        <w:t xml:space="preserve"> L1-RSRP quantization, the following </w:t>
      </w:r>
      <w:r w:rsidR="003535C1">
        <w:t>Option A</w:t>
      </w:r>
      <w:r w:rsidRPr="00EF4B12">
        <w:t xml:space="preserve"> </w:t>
      </w:r>
      <w:r w:rsidR="00A12879">
        <w:t>should be</w:t>
      </w:r>
      <w:r w:rsidRPr="00EF4B12">
        <w:t xml:space="preserve"> </w:t>
      </w:r>
      <w:r w:rsidR="009353BF">
        <w:t>supported.</w:t>
      </w:r>
    </w:p>
    <w:p w14:paraId="27FC1998" w14:textId="77777777" w:rsidR="00A93F71" w:rsidRPr="00EF4B12" w:rsidRDefault="00A93F71" w:rsidP="00EF4B12">
      <w:pPr>
        <w:pStyle w:val="Proposal-Observation"/>
        <w:numPr>
          <w:ilvl w:val="1"/>
          <w:numId w:val="6"/>
        </w:numPr>
        <w:ind w:right="240"/>
        <w:rPr>
          <w:rFonts w:eastAsia="Microsoft YaHei UI"/>
          <w:color w:val="000000"/>
          <w:szCs w:val="24"/>
          <w:lang w:eastAsia="x-none"/>
        </w:rPr>
      </w:pPr>
      <w:r w:rsidRPr="00EF4B12">
        <w:rPr>
          <w:rFonts w:eastAsia="Microsoft YaHei UI"/>
          <w:color w:val="000000"/>
          <w:szCs w:val="24"/>
          <w:lang w:eastAsia="x-none"/>
        </w:rPr>
        <w:t>Option A: Differential encoding is performed per cell, i.e. for each cell, a beam to apply absolute L1-RSRP is chosen among M beams and the differential L1-RSRP is applied to M-1 beams</w:t>
      </w:r>
    </w:p>
    <w:p w14:paraId="3B288CA4" w14:textId="77777777" w:rsidR="0008303A" w:rsidRPr="00C25E82" w:rsidRDefault="0008303A" w:rsidP="00C25E82">
      <w:pPr>
        <w:spacing w:before="100" w:beforeAutospacing="1"/>
        <w:rPr>
          <w:rFonts w:eastAsia="宋体"/>
          <w:lang w:eastAsia="zh-CN"/>
        </w:rPr>
      </w:pPr>
    </w:p>
    <w:p w14:paraId="6F8D9295" w14:textId="3723908C" w:rsidR="007561EB" w:rsidRDefault="00A14585" w:rsidP="00A930BB">
      <w:pPr>
        <w:pStyle w:val="20"/>
      </w:pPr>
      <w:r>
        <w:t>Beam indication</w:t>
      </w:r>
    </w:p>
    <w:p w14:paraId="2E3BF796" w14:textId="4EA72A79" w:rsidR="003F4B54" w:rsidRDefault="003F4B54" w:rsidP="007A0D23">
      <w:pPr>
        <w:spacing w:afterLines="50" w:after="180" w:afterAutospacing="0"/>
        <w:rPr>
          <w:lang w:val="x-none"/>
        </w:rPr>
      </w:pPr>
      <w:bookmarkStart w:id="2" w:name="P1"/>
      <w:r>
        <w:rPr>
          <w:rFonts w:eastAsia="宋体"/>
          <w:lang w:val="x-none" w:eastAsia="zh-CN"/>
        </w:rPr>
        <w:t>In the RAN1#112</w:t>
      </w:r>
      <w:r w:rsidR="0024513C">
        <w:rPr>
          <w:rFonts w:eastAsia="宋体" w:hint="eastAsia"/>
          <w:lang w:val="x-none" w:eastAsia="zh-CN"/>
        </w:rPr>
        <w:t>b</w:t>
      </w:r>
      <w:r>
        <w:rPr>
          <w:rFonts w:eastAsia="宋体"/>
          <w:lang w:val="x-none" w:eastAsia="zh-CN"/>
        </w:rPr>
        <w:t xml:space="preserve"> meeting, the following </w:t>
      </w:r>
      <w:r w:rsidR="0024513C">
        <w:rPr>
          <w:rFonts w:eastAsia="宋体"/>
          <w:lang w:val="x-none" w:eastAsia="zh-CN"/>
        </w:rPr>
        <w:t>proposal</w:t>
      </w:r>
      <w:r>
        <w:rPr>
          <w:rFonts w:eastAsia="宋体"/>
          <w:lang w:val="x-none" w:eastAsia="zh-CN"/>
        </w:rPr>
        <w:t xml:space="preserve"> has been </w:t>
      </w:r>
      <w:r w:rsidR="0024513C">
        <w:rPr>
          <w:rFonts w:eastAsia="宋体"/>
          <w:lang w:val="x-none" w:eastAsia="zh-CN"/>
        </w:rPr>
        <w:t>discussed but not agreed</w:t>
      </w:r>
      <w:r w:rsidR="001957ED">
        <w:rPr>
          <w:rFonts w:eastAsia="宋体"/>
          <w:lang w:val="x-none" w:eastAsia="zh-CN"/>
        </w:rPr>
        <w:t xml:space="preserve"> [</w:t>
      </w:r>
      <w:r w:rsidR="00785EF9">
        <w:rPr>
          <w:rFonts w:eastAsia="宋体"/>
          <w:lang w:val="x-none" w:eastAsia="zh-CN"/>
        </w:rPr>
        <w:t>3</w:t>
      </w:r>
      <w:r w:rsidR="001957ED">
        <w:rPr>
          <w:rFonts w:eastAsia="宋体"/>
          <w:lang w:val="x-none" w:eastAsia="zh-CN"/>
        </w:rPr>
        <w:t>]</w:t>
      </w:r>
      <w:r>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3F4B54" w:rsidRPr="00980D20" w14:paraId="60A53ACD" w14:textId="77777777" w:rsidTr="00BF499C">
        <w:trPr>
          <w:jc w:val="center"/>
        </w:trPr>
        <w:tc>
          <w:tcPr>
            <w:tcW w:w="9962" w:type="dxa"/>
          </w:tcPr>
          <w:p w14:paraId="72C5EF93" w14:textId="77777777" w:rsidR="003F4B54" w:rsidRPr="007A0D23" w:rsidRDefault="003F4B54" w:rsidP="00C25E82">
            <w:pPr>
              <w:pStyle w:val="5"/>
              <w:ind w:leftChars="0" w:left="0"/>
              <w:rPr>
                <w:rFonts w:ascii="Times New Roman" w:eastAsia="MS Gothic" w:hAnsi="Times New Roman" w:cs="Times New Roman"/>
                <w:b/>
                <w:bCs/>
                <w:sz w:val="24"/>
                <w:szCs w:val="20"/>
                <w:lang w:eastAsia="ja-JP"/>
              </w:rPr>
            </w:pPr>
            <w:r w:rsidRPr="007A0D23">
              <w:rPr>
                <w:rFonts w:ascii="Times New Roman" w:eastAsia="MS Gothic" w:hAnsi="Times New Roman" w:cs="Times New Roman"/>
                <w:b/>
                <w:bCs/>
                <w:sz w:val="24"/>
                <w:szCs w:val="20"/>
                <w:lang w:eastAsia="ja-JP"/>
              </w:rPr>
              <w:t>[FL Proposal 5-3-7-v5]</w:t>
            </w:r>
          </w:p>
          <w:p w14:paraId="2E84C57A" w14:textId="77777777" w:rsidR="003F4B54" w:rsidRDefault="003F4B54" w:rsidP="003F4B54">
            <w:pPr>
              <w:pStyle w:val="a"/>
              <w:numPr>
                <w:ilvl w:val="0"/>
                <w:numId w:val="12"/>
              </w:numPr>
            </w:pPr>
            <w:r>
              <w:t>For scenario 2, TCI state indication included in cell switch command indicates the TCI state(s) for SpCell of target cell(s)</w:t>
            </w:r>
          </w:p>
          <w:p w14:paraId="3698A287" w14:textId="77777777" w:rsidR="003F4B54" w:rsidRDefault="003F4B54" w:rsidP="003F4B54">
            <w:pPr>
              <w:pStyle w:val="a"/>
              <w:numPr>
                <w:ilvl w:val="0"/>
                <w:numId w:val="12"/>
              </w:numPr>
            </w:pPr>
            <w:r w:rsidRPr="00360E1C">
              <w:t>For scenario 2, a TCI state indicated in the cell switch command</w:t>
            </w:r>
            <w:r w:rsidRPr="00360E1C">
              <w:rPr>
                <w:rFonts w:hint="eastAsia"/>
              </w:rPr>
              <w:t xml:space="preserve"> </w:t>
            </w:r>
            <w:r w:rsidRPr="00360E1C">
              <w:t xml:space="preserve">is applied to multiple cells included in the list of </w:t>
            </w:r>
            <w:r w:rsidRPr="00360E1C">
              <w:rPr>
                <w:rFonts w:hint="eastAsia"/>
              </w:rPr>
              <w:t>simultaneous TCI state</w:t>
            </w:r>
            <w:r w:rsidRPr="00360E1C">
              <w:t xml:space="preserve"> of the indicated target cell</w:t>
            </w:r>
            <w:r>
              <w:t xml:space="preserve"> (when the list is </w:t>
            </w:r>
            <w:r w:rsidRPr="00360E1C">
              <w:t>configured</w:t>
            </w:r>
            <w:r w:rsidRPr="00D97DB2">
              <w:rPr>
                <w:highlight w:val="yellow"/>
              </w:rPr>
              <w:t>) when the cells indicated in the list are active</w:t>
            </w:r>
            <w:r>
              <w:t xml:space="preserve"> </w:t>
            </w:r>
            <w:r w:rsidRPr="00EC0010">
              <w:t xml:space="preserve">after cell switch command, </w:t>
            </w:r>
            <w:r>
              <w:t>i.e. the same mechanism as simultaneousU-TCI-UpdateList is reused for Rel-18 LTM</w:t>
            </w:r>
          </w:p>
          <w:p w14:paraId="189FDA48" w14:textId="77777777" w:rsidR="003F4B54" w:rsidRPr="0065293F" w:rsidRDefault="003F4B54" w:rsidP="003F4B54">
            <w:pPr>
              <w:pStyle w:val="a"/>
              <w:numPr>
                <w:ilvl w:val="1"/>
                <w:numId w:val="12"/>
              </w:numPr>
            </w:pPr>
            <w:r>
              <w:rPr>
                <w:rFonts w:eastAsia="宋体" w:hint="eastAsia"/>
                <w:lang w:eastAsia="zh-CN"/>
              </w:rPr>
              <w:t>F</w:t>
            </w:r>
            <w:r>
              <w:rPr>
                <w:rFonts w:eastAsia="宋体"/>
                <w:lang w:eastAsia="zh-CN"/>
              </w:rPr>
              <w:t xml:space="preserve">FS: when there are multiple </w:t>
            </w:r>
            <w:r>
              <w:rPr>
                <w:rFonts w:eastAsia="宋体"/>
                <w:color w:val="FF0000"/>
                <w:lang w:eastAsia="zh-CN"/>
              </w:rPr>
              <w:t>(up to 4)</w:t>
            </w:r>
            <w:r>
              <w:rPr>
                <w:color w:val="FF0000"/>
              </w:rPr>
              <w:t xml:space="preserve"> </w:t>
            </w:r>
            <w:r>
              <w:t xml:space="preserve">simultaneousU-TCI-UpdateList configured </w:t>
            </w:r>
            <w:r w:rsidRPr="0065293F">
              <w:t xml:space="preserve">for the </w:t>
            </w:r>
            <w:r w:rsidRPr="00A319AB">
              <w:rPr>
                <w:highlight w:val="cyan"/>
              </w:rPr>
              <w:t>[</w:t>
            </w:r>
            <w:r w:rsidRPr="00A319AB">
              <w:rPr>
                <w:strike/>
                <w:highlight w:val="cyan"/>
              </w:rPr>
              <w:t>target</w:t>
            </w:r>
            <w:r w:rsidRPr="00A319AB">
              <w:rPr>
                <w:highlight w:val="cyan"/>
              </w:rPr>
              <w:t xml:space="preserve"> candidate] cells.</w:t>
            </w:r>
            <w:r w:rsidRPr="0065293F">
              <w:rPr>
                <w:rFonts w:eastAsia="宋体"/>
                <w:lang w:eastAsia="zh-CN"/>
              </w:rPr>
              <w:t xml:space="preserve"> </w:t>
            </w:r>
          </w:p>
          <w:p w14:paraId="09B0D9EE" w14:textId="78A670F1" w:rsidR="003F4B54" w:rsidRPr="003F4B54" w:rsidRDefault="003F4B54" w:rsidP="007A0D23">
            <w:pPr>
              <w:pStyle w:val="a"/>
              <w:numPr>
                <w:ilvl w:val="1"/>
                <w:numId w:val="12"/>
              </w:numPr>
              <w:spacing w:afterLines="50" w:after="180" w:afterAutospacing="0"/>
            </w:pPr>
            <w:r>
              <w:t>Note: RRC structures (i.e. under serving cell configuration or candidate cell configuration, etc) are up to RAN2</w:t>
            </w:r>
          </w:p>
        </w:tc>
      </w:tr>
    </w:tbl>
    <w:p w14:paraId="31ABE57B" w14:textId="32922363" w:rsidR="008F515E" w:rsidRDefault="007C7171" w:rsidP="007A0D23">
      <w:pPr>
        <w:spacing w:beforeLines="50" w:before="180"/>
        <w:rPr>
          <w:rFonts w:eastAsia="宋体"/>
          <w:lang w:val="x-none" w:eastAsia="zh-CN"/>
        </w:rPr>
      </w:pPr>
      <w:r>
        <w:rPr>
          <w:rFonts w:eastAsia="宋体" w:hint="eastAsia"/>
          <w:lang w:val="x-none" w:eastAsia="zh-CN"/>
        </w:rPr>
        <w:t>In</w:t>
      </w:r>
      <w:r>
        <w:rPr>
          <w:rFonts w:eastAsia="宋体"/>
          <w:lang w:val="x-none" w:eastAsia="zh-CN"/>
        </w:rPr>
        <w:t xml:space="preserve"> the RAN1#113 meeting, </w:t>
      </w:r>
      <w:r w:rsidR="00343161">
        <w:rPr>
          <w:rFonts w:eastAsia="宋体"/>
          <w:lang w:val="x-none" w:eastAsia="zh-CN"/>
        </w:rPr>
        <w:t>the above proposal was not discussed due to the limited time</w:t>
      </w:r>
      <w:r>
        <w:rPr>
          <w:rFonts w:eastAsia="宋体"/>
          <w:lang w:val="x-none" w:eastAsia="zh-CN"/>
        </w:rPr>
        <w:t xml:space="preserve">. </w:t>
      </w:r>
      <w:r w:rsidR="006C3284">
        <w:rPr>
          <w:rFonts w:eastAsia="宋体"/>
          <w:lang w:val="x-none" w:eastAsia="zh-CN"/>
        </w:rPr>
        <w:t xml:space="preserve">The proposal is about how to perform the </w:t>
      </w:r>
      <w:r w:rsidR="006C3284">
        <w:rPr>
          <w:rFonts w:eastAsia="宋体" w:hint="eastAsia"/>
          <w:lang w:val="x-none" w:eastAsia="zh-CN"/>
        </w:rPr>
        <w:t>be</w:t>
      </w:r>
      <w:r w:rsidR="006C3284">
        <w:rPr>
          <w:rFonts w:eastAsia="宋体"/>
          <w:lang w:val="x-none" w:eastAsia="zh-CN"/>
        </w:rPr>
        <w:t>am indication for multiple cells for CA</w:t>
      </w:r>
      <w:r w:rsidR="00983B33">
        <w:rPr>
          <w:rFonts w:eastAsia="宋体"/>
          <w:lang w:val="x-none" w:eastAsia="zh-CN"/>
        </w:rPr>
        <w:t>, and we support this proposal in general</w:t>
      </w:r>
      <w:r w:rsidR="006C3284">
        <w:rPr>
          <w:rFonts w:eastAsia="宋体"/>
          <w:lang w:val="x-none" w:eastAsia="zh-CN"/>
        </w:rPr>
        <w:t>.</w:t>
      </w:r>
      <w:r w:rsidR="003F4B54">
        <w:rPr>
          <w:rFonts w:eastAsia="宋体"/>
          <w:lang w:val="x-none" w:eastAsia="zh-CN"/>
        </w:rPr>
        <w:t xml:space="preserve"> </w:t>
      </w:r>
      <w:r w:rsidR="00983B33">
        <w:rPr>
          <w:rFonts w:eastAsia="宋体"/>
          <w:lang w:val="x-none" w:eastAsia="zh-CN"/>
        </w:rPr>
        <w:t xml:space="preserve">A TCI state is indicated by the cell switch command, and applied to a BWP of a target cell. If a UE </w:t>
      </w:r>
      <w:r w:rsidR="00A0009E">
        <w:rPr>
          <w:rFonts w:eastAsia="宋体" w:hint="eastAsia"/>
          <w:lang w:val="x-none" w:eastAsia="zh-CN"/>
        </w:rPr>
        <w:t>n</w:t>
      </w:r>
      <w:r w:rsidR="00A0009E">
        <w:rPr>
          <w:rFonts w:eastAsia="宋体"/>
          <w:lang w:val="x-none" w:eastAsia="zh-CN"/>
        </w:rPr>
        <w:t>eeds</w:t>
      </w:r>
      <w:r w:rsidR="00983B33">
        <w:rPr>
          <w:rFonts w:eastAsia="宋体"/>
          <w:lang w:val="x-none" w:eastAsia="zh-CN"/>
        </w:rPr>
        <w:t xml:space="preserve"> to switch to multiple target cells belonging to a CA group, </w:t>
      </w:r>
      <w:proofErr w:type="spellStart"/>
      <w:r w:rsidR="00983B33" w:rsidRPr="00C25E82">
        <w:rPr>
          <w:rFonts w:eastAsia="宋体"/>
          <w:lang w:val="x-none" w:eastAsia="zh-CN"/>
        </w:rPr>
        <w:t>simultaneousU</w:t>
      </w:r>
      <w:proofErr w:type="spellEnd"/>
      <w:r w:rsidR="00983B33" w:rsidRPr="00C25E82">
        <w:rPr>
          <w:rFonts w:eastAsia="宋体"/>
          <w:lang w:val="x-none" w:eastAsia="zh-CN"/>
        </w:rPr>
        <w:t>-TCI-UpdateList</w:t>
      </w:r>
      <w:r w:rsidR="00983B33" w:rsidRPr="00077DCE">
        <w:rPr>
          <w:rFonts w:eastAsia="宋体"/>
          <w:lang w:val="x-none" w:eastAsia="zh-CN"/>
        </w:rPr>
        <w:t xml:space="preserve"> </w:t>
      </w:r>
      <w:r w:rsidR="00983B33">
        <w:rPr>
          <w:rFonts w:eastAsia="宋体"/>
          <w:lang w:val="x-none" w:eastAsia="zh-CN"/>
        </w:rPr>
        <w:t>can be leveraged to determine the</w:t>
      </w:r>
      <w:r w:rsidR="00171264">
        <w:rPr>
          <w:rFonts w:eastAsia="宋体"/>
          <w:lang w:val="x-none" w:eastAsia="zh-CN"/>
        </w:rPr>
        <w:t xml:space="preserve"> indicated</w:t>
      </w:r>
      <w:r w:rsidR="00983B33">
        <w:rPr>
          <w:rFonts w:eastAsia="宋体"/>
          <w:lang w:val="x-none" w:eastAsia="zh-CN"/>
        </w:rPr>
        <w:t xml:space="preserve"> TCI states for </w:t>
      </w:r>
      <w:r w:rsidR="00A0009E">
        <w:rPr>
          <w:rFonts w:eastAsia="宋体"/>
          <w:lang w:val="x-none" w:eastAsia="zh-CN"/>
        </w:rPr>
        <w:t>multiple</w:t>
      </w:r>
      <w:r w:rsidR="00983B33">
        <w:rPr>
          <w:rFonts w:eastAsia="宋体"/>
          <w:lang w:val="x-none" w:eastAsia="zh-CN"/>
        </w:rPr>
        <w:t xml:space="preserve"> target cells</w:t>
      </w:r>
      <w:r w:rsidR="00171264">
        <w:rPr>
          <w:rFonts w:eastAsia="宋体"/>
          <w:lang w:val="x-none" w:eastAsia="zh-CN"/>
        </w:rPr>
        <w:t xml:space="preserve"> within the same list</w:t>
      </w:r>
      <w:r w:rsidR="00983B33">
        <w:rPr>
          <w:rFonts w:eastAsia="宋体"/>
          <w:lang w:val="x-none" w:eastAsia="zh-CN"/>
        </w:rPr>
        <w:t xml:space="preserve">. More specifically, </w:t>
      </w:r>
      <w:r w:rsidR="0027027C">
        <w:rPr>
          <w:rFonts w:eastAsia="宋体"/>
          <w:lang w:val="x-none" w:eastAsia="zh-CN"/>
        </w:rPr>
        <w:t xml:space="preserve">the beam indication in </w:t>
      </w:r>
      <w:r w:rsidR="00983B33">
        <w:rPr>
          <w:rFonts w:eastAsia="宋体"/>
          <w:lang w:val="x-none" w:eastAsia="zh-CN"/>
        </w:rPr>
        <w:t xml:space="preserve">the cell switch command also applies to </w:t>
      </w:r>
      <w:r w:rsidR="00ED2B8E">
        <w:rPr>
          <w:rFonts w:eastAsia="宋体"/>
          <w:lang w:val="x-none" w:eastAsia="zh-CN"/>
        </w:rPr>
        <w:t xml:space="preserve">the </w:t>
      </w:r>
      <w:r w:rsidR="00983B33">
        <w:rPr>
          <w:rFonts w:eastAsia="宋体"/>
          <w:lang w:val="x-none" w:eastAsia="zh-CN"/>
        </w:rPr>
        <w:t xml:space="preserve">target cells in the same </w:t>
      </w:r>
      <w:proofErr w:type="spellStart"/>
      <w:r w:rsidR="00983B33" w:rsidRPr="00C25E82">
        <w:rPr>
          <w:rFonts w:eastAsia="宋体"/>
          <w:lang w:val="x-none" w:eastAsia="zh-CN"/>
        </w:rPr>
        <w:t>simultaneousU</w:t>
      </w:r>
      <w:proofErr w:type="spellEnd"/>
      <w:r w:rsidR="00983B33" w:rsidRPr="00C25E82">
        <w:rPr>
          <w:rFonts w:eastAsia="宋体"/>
          <w:lang w:val="x-none" w:eastAsia="zh-CN"/>
        </w:rPr>
        <w:t>-TCI-UpdateList</w:t>
      </w:r>
      <w:r w:rsidR="00983B33">
        <w:rPr>
          <w:rFonts w:eastAsia="宋体"/>
          <w:lang w:val="x-none" w:eastAsia="zh-CN"/>
        </w:rPr>
        <w:t xml:space="preserve">. </w:t>
      </w:r>
    </w:p>
    <w:p w14:paraId="3CE6CA5B" w14:textId="77777777" w:rsidR="00B13351" w:rsidRPr="00C8509B" w:rsidRDefault="00B13351" w:rsidP="00B13351">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4</w:t>
      </w:r>
    </w:p>
    <w:p w14:paraId="7CEDDEF8" w14:textId="77777777" w:rsidR="00B13351" w:rsidRDefault="00B13351" w:rsidP="00B13351">
      <w:pPr>
        <w:pStyle w:val="Proposal-Observation"/>
        <w:numPr>
          <w:ilvl w:val="0"/>
          <w:numId w:val="6"/>
        </w:numPr>
        <w:ind w:leftChars="100" w:left="660" w:right="240"/>
        <w:rPr>
          <w:rFonts w:eastAsia="宋体"/>
        </w:rPr>
      </w:pPr>
      <w:r>
        <w:rPr>
          <w:rFonts w:eastAsia="宋体"/>
        </w:rPr>
        <w:lastRenderedPageBreak/>
        <w:t xml:space="preserve">For Scenario 2, </w:t>
      </w:r>
      <w:r w:rsidRPr="00A0649B">
        <w:rPr>
          <w:rFonts w:eastAsia="宋体"/>
        </w:rPr>
        <w:t>when</w:t>
      </w:r>
      <w:r>
        <w:t xml:space="preserve"> the cell switch command indicates a TCI state for a target cell, it also</w:t>
      </w:r>
      <w:r w:rsidRPr="00A0649B">
        <w:rPr>
          <w:rFonts w:eastAsia="宋体"/>
        </w:rPr>
        <w:t xml:space="preserve"> appl</w:t>
      </w:r>
      <w:r>
        <w:rPr>
          <w:rFonts w:eastAsia="宋体"/>
        </w:rPr>
        <w:t>ies</w:t>
      </w:r>
      <w:r w:rsidRPr="00A0649B">
        <w:rPr>
          <w:rFonts w:eastAsia="宋体"/>
        </w:rPr>
        <w:t xml:space="preserve"> to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proofErr w:type="spellStart"/>
      <w:r w:rsidRPr="005E081E">
        <w:rPr>
          <w:rFonts w:eastAsia="宋体"/>
        </w:rPr>
        <w:t>simultaneousU</w:t>
      </w:r>
      <w:proofErr w:type="spellEnd"/>
      <w:r w:rsidRPr="005E081E">
        <w:rPr>
          <w:rFonts w:eastAsia="宋体"/>
        </w:rPr>
        <w:t>-TCI-UpdateList.</w:t>
      </w:r>
    </w:p>
    <w:p w14:paraId="0B9EE1EB" w14:textId="77777777" w:rsidR="00B13351" w:rsidRPr="007A0D23" w:rsidRDefault="00B13351" w:rsidP="00C25E82">
      <w:pPr>
        <w:spacing w:before="100" w:beforeAutospacing="1"/>
        <w:rPr>
          <w:rFonts w:eastAsia="宋体"/>
          <w:lang w:val="en-US" w:eastAsia="zh-CN"/>
        </w:rPr>
      </w:pPr>
    </w:p>
    <w:p w14:paraId="5A3C9EC1" w14:textId="7E155013" w:rsidR="0065408B" w:rsidRDefault="008F515E" w:rsidP="007A0D23">
      <w:pPr>
        <w:spacing w:afterLines="50" w:after="180" w:afterAutospacing="0"/>
        <w:rPr>
          <w:lang w:val="x-none"/>
        </w:rPr>
      </w:pPr>
      <w:r>
        <w:rPr>
          <w:rFonts w:eastAsia="宋体"/>
          <w:lang w:val="x-none" w:eastAsia="zh-CN"/>
        </w:rPr>
        <w:t xml:space="preserve">In the RAN1#112b meeting, </w:t>
      </w:r>
      <w:r w:rsidR="0065408B">
        <w:rPr>
          <w:rFonts w:eastAsia="宋体"/>
          <w:lang w:val="x-none" w:eastAsia="zh-CN"/>
        </w:rPr>
        <w:t>the following agree</w:t>
      </w:r>
      <w:r w:rsidR="00316E14">
        <w:rPr>
          <w:rFonts w:eastAsia="宋体"/>
          <w:lang w:val="x-none" w:eastAsia="zh-CN"/>
        </w:rPr>
        <w:t>ment has been achieved</w:t>
      </w:r>
      <w:r w:rsidR="0048496E">
        <w:rPr>
          <w:rFonts w:eastAsia="宋体"/>
          <w:lang w:val="x-none" w:eastAsia="zh-CN"/>
        </w:rPr>
        <w:t xml:space="preserve"> [</w:t>
      </w:r>
      <w:r w:rsidR="00785EF9">
        <w:rPr>
          <w:rFonts w:eastAsia="宋体"/>
          <w:lang w:val="x-none" w:eastAsia="zh-CN"/>
        </w:rPr>
        <w:t>4</w:t>
      </w:r>
      <w:r w:rsidR="0048496E">
        <w:rPr>
          <w:rFonts w:eastAsia="宋体"/>
          <w:lang w:val="x-none" w:eastAsia="zh-CN"/>
        </w:rPr>
        <w:t>]</w:t>
      </w:r>
      <w:r w:rsidR="0065408B">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65408B" w:rsidRPr="00980D20" w14:paraId="21C53EC3" w14:textId="77777777" w:rsidTr="006C6A73">
        <w:trPr>
          <w:jc w:val="center"/>
        </w:trPr>
        <w:tc>
          <w:tcPr>
            <w:tcW w:w="9962" w:type="dxa"/>
          </w:tcPr>
          <w:p w14:paraId="16DB61BE" w14:textId="77777777" w:rsidR="00316E14" w:rsidRPr="00E56C47" w:rsidRDefault="00316E14" w:rsidP="007A0D23">
            <w:pPr>
              <w:spacing w:afterLines="50" w:after="180" w:afterAutospacing="0"/>
              <w:rPr>
                <w:highlight w:val="green"/>
              </w:rPr>
            </w:pPr>
            <w:r w:rsidRPr="00E56C47">
              <w:rPr>
                <w:b/>
                <w:bCs/>
                <w:highlight w:val="green"/>
              </w:rPr>
              <w:t>Agreement</w:t>
            </w:r>
          </w:p>
          <w:p w14:paraId="79417E7A" w14:textId="77777777" w:rsidR="00316E14" w:rsidRPr="00E56C47" w:rsidRDefault="00316E14" w:rsidP="00316E14">
            <w:r w:rsidRPr="00E56C47">
              <w:rPr>
                <w:rFonts w:hint="eastAsia"/>
              </w:rPr>
              <w:t>For the Rel-17 unified TCI based beam indication in Rel-18 LTM, at least Alt 1 is supported:</w:t>
            </w:r>
          </w:p>
          <w:p w14:paraId="609E00F5" w14:textId="77777777" w:rsidR="00316E14" w:rsidRPr="00E56C47" w:rsidRDefault="00316E14" w:rsidP="00316E14">
            <w:pPr>
              <w:pStyle w:val="a"/>
              <w:numPr>
                <w:ilvl w:val="0"/>
                <w:numId w:val="26"/>
              </w:numPr>
              <w:spacing w:after="0" w:afterAutospacing="0"/>
              <w:rPr>
                <w:rFonts w:ascii="Calibri" w:hAnsi="Calibri" w:cs="Calibri"/>
                <w:sz w:val="22"/>
                <w:szCs w:val="22"/>
              </w:rPr>
            </w:pPr>
            <w:r w:rsidRPr="00E56C47">
              <w:rPr>
                <w:rFonts w:hint="eastAsia"/>
                <w:b/>
                <w:bCs/>
              </w:rPr>
              <w:t>Alt 1:</w:t>
            </w:r>
            <w:r w:rsidRPr="00E56C47">
              <w:rPr>
                <w:rFonts w:hint="eastAsia"/>
              </w:rPr>
              <w:t xml:space="preserve"> TCI state activation of </w:t>
            </w:r>
            <w:r w:rsidRPr="00E56C47">
              <w:t>a</w:t>
            </w:r>
            <w:r w:rsidRPr="00E56C47">
              <w:rPr>
                <w:rFonts w:hint="eastAsia"/>
              </w:rPr>
              <w:t xml:space="preserve"> </w:t>
            </w:r>
            <w:r w:rsidRPr="00E56C47">
              <w:t>candidate</w:t>
            </w:r>
            <w:r w:rsidRPr="00E56C47">
              <w:rPr>
                <w:rFonts w:hint="eastAsia"/>
              </w:rPr>
              <w:t xml:space="preserve"> cell is received before the reception of beam indication of the </w:t>
            </w:r>
            <w:r w:rsidRPr="00E56C47">
              <w:t>candidate</w:t>
            </w:r>
            <w:r w:rsidRPr="00E56C47">
              <w:rPr>
                <w:rFonts w:hint="eastAsia"/>
              </w:rPr>
              <w:t xml:space="preserve"> cell, </w:t>
            </w:r>
          </w:p>
          <w:p w14:paraId="2897B3E9" w14:textId="77777777" w:rsidR="00316E14" w:rsidRPr="00E56C47" w:rsidRDefault="00316E14" w:rsidP="00316E14">
            <w:pPr>
              <w:pStyle w:val="a"/>
              <w:numPr>
                <w:ilvl w:val="0"/>
                <w:numId w:val="26"/>
              </w:numPr>
              <w:spacing w:after="0" w:afterAutospacing="0"/>
            </w:pPr>
            <w:r w:rsidRPr="00E56C47">
              <w:rPr>
                <w:rFonts w:hint="eastAsia"/>
                <w:b/>
                <w:bCs/>
              </w:rPr>
              <w:t>Alt 2:</w:t>
            </w:r>
            <w:r w:rsidRPr="00E56C47">
              <w:rPr>
                <w:rFonts w:hint="eastAsia"/>
              </w:rPr>
              <w:t xml:space="preserve"> TCI state activation of </w:t>
            </w:r>
            <w:r w:rsidRPr="00E56C47">
              <w:t>a candidate</w:t>
            </w:r>
            <w:r w:rsidRPr="00E56C47">
              <w:rPr>
                <w:rFonts w:hint="eastAsia"/>
              </w:rPr>
              <w:t xml:space="preserve"> cell is received together with the reception of beam indication of the </w:t>
            </w:r>
            <w:r w:rsidRPr="00E56C47">
              <w:t>candidate</w:t>
            </w:r>
            <w:r w:rsidRPr="00E56C47">
              <w:rPr>
                <w:rFonts w:hint="eastAsia"/>
              </w:rPr>
              <w:t xml:space="preserve"> cell</w:t>
            </w:r>
          </w:p>
          <w:p w14:paraId="5EDDC39D" w14:textId="77777777" w:rsidR="00316E14" w:rsidRPr="00E56C47" w:rsidRDefault="00316E14" w:rsidP="00316E14">
            <w:pPr>
              <w:pStyle w:val="a"/>
              <w:numPr>
                <w:ilvl w:val="1"/>
                <w:numId w:val="26"/>
              </w:numPr>
              <w:spacing w:after="0" w:afterAutospacing="0"/>
              <w:rPr>
                <w:rFonts w:ascii="Yu Gothic" w:hAnsi="Yu Gothic"/>
              </w:rPr>
            </w:pPr>
            <w:r w:rsidRPr="00E56C47">
              <w:rPr>
                <w:rFonts w:hint="eastAsia"/>
              </w:rPr>
              <w:t>FFS: signalling details for TCI state indication, if both activation and indication are done in the same MAC CE message carrying switch command</w:t>
            </w:r>
          </w:p>
          <w:p w14:paraId="7CA6534B" w14:textId="77777777" w:rsidR="00316E14" w:rsidRPr="00E56C47" w:rsidRDefault="00316E14" w:rsidP="00316E14">
            <w:pPr>
              <w:pStyle w:val="a"/>
              <w:numPr>
                <w:ilvl w:val="0"/>
                <w:numId w:val="26"/>
              </w:numPr>
              <w:spacing w:after="0" w:afterAutospacing="0"/>
            </w:pPr>
            <w:r w:rsidRPr="00E56C47">
              <w:rPr>
                <w:rFonts w:hint="eastAsia"/>
                <w:b/>
                <w:bCs/>
              </w:rPr>
              <w:t>Alt 3:</w:t>
            </w:r>
            <w:r w:rsidRPr="00E56C47">
              <w:rPr>
                <w:rFonts w:hint="eastAsia"/>
              </w:rPr>
              <w:t xml:space="preserve"> Alt 1 and/or Alt 2 can be supported based on the UE capability</w:t>
            </w:r>
          </w:p>
          <w:p w14:paraId="13D66EB7" w14:textId="77777777" w:rsidR="00316E14" w:rsidRPr="00E56C47" w:rsidRDefault="00316E14" w:rsidP="00316E14">
            <w:r w:rsidRPr="00E56C47">
              <w:rPr>
                <w:rFonts w:hint="eastAsia"/>
                <w:b/>
                <w:bCs/>
              </w:rPr>
              <w:t>FFS:</w:t>
            </w:r>
            <w:r w:rsidRPr="00E56C47">
              <w:rPr>
                <w:rFonts w:hint="eastAsia"/>
              </w:rPr>
              <w:t xml:space="preserve"> signalling details for TCI state activation</w:t>
            </w:r>
          </w:p>
          <w:p w14:paraId="24622FBC" w14:textId="77777777" w:rsidR="00316E14" w:rsidRPr="00E56C47" w:rsidRDefault="00316E14" w:rsidP="00316E14">
            <w:r w:rsidRPr="00E56C47">
              <w:rPr>
                <w:rFonts w:hint="eastAsia"/>
                <w:b/>
                <w:bCs/>
              </w:rPr>
              <w:t>FFS:</w:t>
            </w:r>
            <w:r w:rsidRPr="00E56C47">
              <w:rPr>
                <w:rFonts w:hint="eastAsia"/>
              </w:rPr>
              <w:t xml:space="preserve"> </w:t>
            </w:r>
            <w:r w:rsidRPr="00E56C47">
              <w:t xml:space="preserve">For Alt 1, </w:t>
            </w:r>
            <w:r w:rsidRPr="00E56C47">
              <w:rPr>
                <w:rFonts w:hint="eastAsia"/>
              </w:rPr>
              <w:t>whether/how TCI state activation for candidate cell(s) is allowed</w:t>
            </w:r>
          </w:p>
          <w:p w14:paraId="4E0E9DB6" w14:textId="4478A67D" w:rsidR="0065408B" w:rsidRPr="003F4B54" w:rsidRDefault="00316E14" w:rsidP="007A0D23">
            <w:pPr>
              <w:spacing w:afterLines="50" w:after="180" w:afterAutospacing="0"/>
            </w:pPr>
            <w:r w:rsidRPr="00E56C47">
              <w:rPr>
                <w:rFonts w:hint="eastAsia"/>
                <w:b/>
                <w:bCs/>
              </w:rPr>
              <w:t>Note:</w:t>
            </w:r>
            <w:r w:rsidRPr="00E56C47">
              <w:rPr>
                <w:rFonts w:hint="eastAsia"/>
              </w:rPr>
              <w:t xml:space="preserve"> If scenarios 1 and 3 are to be supported other beam indication/TCI activation timing relationships are not precluded.</w:t>
            </w:r>
          </w:p>
        </w:tc>
      </w:tr>
    </w:tbl>
    <w:p w14:paraId="129A8792" w14:textId="31A762A8" w:rsidR="00325AB4" w:rsidRPr="00C25E82" w:rsidRDefault="0065408B" w:rsidP="00656520">
      <w:pPr>
        <w:spacing w:beforeLines="50" w:before="180"/>
        <w:rPr>
          <w:rFonts w:eastAsia="宋体"/>
          <w:lang w:val="x-none" w:eastAsia="zh-CN"/>
        </w:rPr>
      </w:pPr>
      <w:r>
        <w:rPr>
          <w:rFonts w:eastAsia="宋体"/>
          <w:lang w:val="x-none" w:eastAsia="zh-CN"/>
        </w:rPr>
        <w:t xml:space="preserve">According to the </w:t>
      </w:r>
      <w:r w:rsidR="00EF79EE">
        <w:rPr>
          <w:rFonts w:eastAsia="宋体"/>
          <w:lang w:val="x-none" w:eastAsia="zh-CN"/>
        </w:rPr>
        <w:t>agreed Alt 1,</w:t>
      </w:r>
      <w:r>
        <w:rPr>
          <w:rFonts w:eastAsia="宋体"/>
          <w:lang w:val="x-none" w:eastAsia="zh-CN"/>
        </w:rPr>
        <w:t xml:space="preserve"> </w:t>
      </w:r>
      <w:r w:rsidR="008F515E">
        <w:rPr>
          <w:rFonts w:eastAsia="宋体"/>
          <w:lang w:val="x-none" w:eastAsia="zh-CN"/>
        </w:rPr>
        <w:t xml:space="preserve">it is </w:t>
      </w:r>
      <w:r>
        <w:rPr>
          <w:rFonts w:eastAsia="宋体"/>
          <w:lang w:val="x-none" w:eastAsia="zh-CN"/>
        </w:rPr>
        <w:t>supported</w:t>
      </w:r>
      <w:r w:rsidR="008F515E">
        <w:rPr>
          <w:rFonts w:eastAsia="宋体"/>
          <w:lang w:val="x-none" w:eastAsia="zh-CN"/>
        </w:rPr>
        <w:t xml:space="preserve"> that the TCI state activation </w:t>
      </w:r>
      <w:r w:rsidR="0011523E">
        <w:rPr>
          <w:rFonts w:eastAsia="宋体"/>
          <w:lang w:val="x-none" w:eastAsia="zh-CN"/>
        </w:rPr>
        <w:t>can</w:t>
      </w:r>
      <w:r w:rsidR="008F515E">
        <w:rPr>
          <w:rFonts w:eastAsia="宋体"/>
          <w:lang w:val="x-none" w:eastAsia="zh-CN"/>
        </w:rPr>
        <w:t xml:space="preserve"> be performed before the cell switch command.</w:t>
      </w:r>
      <w:r w:rsidR="0011523E">
        <w:rPr>
          <w:rFonts w:eastAsia="宋体"/>
          <w:lang w:val="x-none" w:eastAsia="zh-CN"/>
        </w:rPr>
        <w:t xml:space="preserve"> </w:t>
      </w:r>
      <w:r w:rsidR="00704A23">
        <w:rPr>
          <w:rFonts w:eastAsia="宋体"/>
          <w:lang w:val="x-none" w:eastAsia="zh-CN"/>
        </w:rPr>
        <w:t>Similar with the</w:t>
      </w:r>
      <w:r w:rsidR="0095375B">
        <w:rPr>
          <w:rFonts w:eastAsia="宋体"/>
          <w:lang w:val="x-none" w:eastAsia="zh-CN"/>
        </w:rPr>
        <w:t xml:space="preserve"> aforementioned</w:t>
      </w:r>
      <w:r w:rsidR="00704A23">
        <w:rPr>
          <w:rFonts w:eastAsia="宋体"/>
          <w:lang w:val="x-none" w:eastAsia="zh-CN"/>
        </w:rPr>
        <w:t xml:space="preserve"> case </w:t>
      </w:r>
      <w:r w:rsidR="0095375B">
        <w:rPr>
          <w:rFonts w:eastAsia="宋体"/>
          <w:lang w:val="x-none" w:eastAsia="zh-CN"/>
        </w:rPr>
        <w:t xml:space="preserve">where </w:t>
      </w:r>
      <w:proofErr w:type="spellStart"/>
      <w:r w:rsidR="0095375B" w:rsidRPr="00C91FC8">
        <w:rPr>
          <w:rFonts w:eastAsia="宋体"/>
          <w:lang w:val="x-none" w:eastAsia="zh-CN"/>
        </w:rPr>
        <w:t>simultaneousU</w:t>
      </w:r>
      <w:proofErr w:type="spellEnd"/>
      <w:r w:rsidR="0095375B" w:rsidRPr="00C91FC8">
        <w:rPr>
          <w:rFonts w:eastAsia="宋体"/>
          <w:lang w:val="x-none" w:eastAsia="zh-CN"/>
        </w:rPr>
        <w:t>-TCI-UpdateList</w:t>
      </w:r>
      <w:r w:rsidR="0095375B">
        <w:rPr>
          <w:rFonts w:eastAsia="宋体"/>
          <w:lang w:val="x-none" w:eastAsia="zh-CN"/>
        </w:rPr>
        <w:t xml:space="preserve"> is used to determine the indicated TCI states for multiple target cells</w:t>
      </w:r>
      <w:r w:rsidR="0011523E">
        <w:rPr>
          <w:rFonts w:eastAsia="宋体"/>
          <w:lang w:val="x-none" w:eastAsia="zh-CN"/>
        </w:rPr>
        <w:t xml:space="preserve">, </w:t>
      </w:r>
      <w:proofErr w:type="spellStart"/>
      <w:r w:rsidR="00171264" w:rsidRPr="00C91FC8">
        <w:rPr>
          <w:rFonts w:eastAsia="宋体"/>
          <w:lang w:val="x-none" w:eastAsia="zh-CN"/>
        </w:rPr>
        <w:t>simultaneousU</w:t>
      </w:r>
      <w:proofErr w:type="spellEnd"/>
      <w:r w:rsidR="00171264" w:rsidRPr="00C91FC8">
        <w:rPr>
          <w:rFonts w:eastAsia="宋体"/>
          <w:lang w:val="x-none" w:eastAsia="zh-CN"/>
        </w:rPr>
        <w:t>-TCI-UpdateList</w:t>
      </w:r>
      <w:r w:rsidR="00171264" w:rsidRPr="00077DCE">
        <w:rPr>
          <w:rFonts w:eastAsia="宋体"/>
          <w:lang w:val="x-none" w:eastAsia="zh-CN"/>
        </w:rPr>
        <w:t xml:space="preserve"> </w:t>
      </w:r>
      <w:r w:rsidR="00171264">
        <w:rPr>
          <w:rFonts w:eastAsia="宋体"/>
          <w:lang w:val="x-none" w:eastAsia="zh-CN"/>
        </w:rPr>
        <w:t xml:space="preserve">can be </w:t>
      </w:r>
      <w:r w:rsidR="00D879EF">
        <w:rPr>
          <w:rFonts w:eastAsia="宋体"/>
          <w:lang w:val="x-none" w:eastAsia="zh-CN"/>
        </w:rPr>
        <w:t xml:space="preserve">also </w:t>
      </w:r>
      <w:r w:rsidR="0099533C">
        <w:rPr>
          <w:rFonts w:eastAsia="宋体"/>
          <w:lang w:val="x-none" w:eastAsia="zh-CN"/>
        </w:rPr>
        <w:t>used</w:t>
      </w:r>
      <w:r w:rsidR="00171264">
        <w:rPr>
          <w:rFonts w:eastAsia="宋体"/>
          <w:lang w:val="x-none" w:eastAsia="zh-CN"/>
        </w:rPr>
        <w:t xml:space="preserve"> to determine the activated TCI states for </w:t>
      </w:r>
      <w:r w:rsidR="00704A23">
        <w:rPr>
          <w:rFonts w:eastAsia="宋体"/>
          <w:lang w:val="x-none" w:eastAsia="zh-CN"/>
        </w:rPr>
        <w:t>multiple</w:t>
      </w:r>
      <w:r w:rsidR="00171264">
        <w:rPr>
          <w:rFonts w:eastAsia="宋体"/>
          <w:lang w:val="x-none" w:eastAsia="zh-CN"/>
        </w:rPr>
        <w:t xml:space="preserve"> candidate cells</w:t>
      </w:r>
      <w:r w:rsidR="00171264" w:rsidDel="00BD2FDE">
        <w:rPr>
          <w:rFonts w:eastAsia="宋体"/>
          <w:lang w:val="x-none" w:eastAsia="zh-CN"/>
        </w:rPr>
        <w:t xml:space="preserve"> </w:t>
      </w:r>
      <w:r w:rsidR="00171264">
        <w:rPr>
          <w:rFonts w:eastAsia="宋体"/>
          <w:lang w:val="x-none" w:eastAsia="zh-CN"/>
        </w:rPr>
        <w:t xml:space="preserve">belonging to the same </w:t>
      </w:r>
      <w:proofErr w:type="spellStart"/>
      <w:r w:rsidR="00011273" w:rsidRPr="00C91FC8">
        <w:rPr>
          <w:rFonts w:eastAsia="宋体"/>
          <w:lang w:val="x-none" w:eastAsia="zh-CN"/>
        </w:rPr>
        <w:t>simultaneousU</w:t>
      </w:r>
      <w:proofErr w:type="spellEnd"/>
      <w:r w:rsidR="00011273" w:rsidRPr="00C91FC8">
        <w:rPr>
          <w:rFonts w:eastAsia="宋体"/>
          <w:lang w:val="x-none" w:eastAsia="zh-CN"/>
        </w:rPr>
        <w:t>-TCI-UpdateList</w:t>
      </w:r>
      <w:r w:rsidR="00255FD0">
        <w:rPr>
          <w:rFonts w:eastAsia="宋体"/>
          <w:lang w:val="x-none" w:eastAsia="zh-CN"/>
        </w:rPr>
        <w:t xml:space="preserve">. More specifically, when a MAC CE activates TCI states for a candidate cell, </w:t>
      </w:r>
      <w:r w:rsidR="00E2545D">
        <w:rPr>
          <w:rFonts w:eastAsia="宋体"/>
          <w:lang w:val="x-none" w:eastAsia="zh-CN"/>
        </w:rPr>
        <w:t xml:space="preserve">it </w:t>
      </w:r>
      <w:r w:rsidR="00E67AC6">
        <w:rPr>
          <w:rFonts w:eastAsia="宋体" w:hint="eastAsia"/>
          <w:lang w:val="x-none" w:eastAsia="zh-CN"/>
        </w:rPr>
        <w:t>a</w:t>
      </w:r>
      <w:r w:rsidR="00E67AC6">
        <w:rPr>
          <w:rFonts w:eastAsia="宋体"/>
          <w:lang w:val="x-none" w:eastAsia="zh-CN"/>
        </w:rPr>
        <w:t xml:space="preserve">lso </w:t>
      </w:r>
      <w:r w:rsidR="00E2545D">
        <w:rPr>
          <w:rFonts w:eastAsia="宋体"/>
          <w:lang w:val="x-none" w:eastAsia="zh-CN"/>
        </w:rPr>
        <w:t xml:space="preserve">applies to the candidate cells in the same </w:t>
      </w:r>
      <w:proofErr w:type="spellStart"/>
      <w:r w:rsidR="00E2545D" w:rsidRPr="000B042E">
        <w:rPr>
          <w:rFonts w:eastAsia="宋体"/>
          <w:lang w:val="x-none" w:eastAsia="zh-CN"/>
        </w:rPr>
        <w:t>simultaneousU</w:t>
      </w:r>
      <w:proofErr w:type="spellEnd"/>
      <w:r w:rsidR="00E2545D" w:rsidRPr="000B042E">
        <w:rPr>
          <w:rFonts w:eastAsia="宋体"/>
          <w:lang w:val="x-none" w:eastAsia="zh-CN"/>
        </w:rPr>
        <w:t>-TCI-UpdateList</w:t>
      </w:r>
      <w:r w:rsidR="00E2545D">
        <w:rPr>
          <w:rFonts w:eastAsia="宋体"/>
          <w:lang w:val="x-none" w:eastAsia="zh-CN"/>
        </w:rPr>
        <w:t>.</w:t>
      </w:r>
    </w:p>
    <w:p w14:paraId="15012BAD" w14:textId="74FF4CF0" w:rsidR="001C3D33" w:rsidRDefault="001C3D33" w:rsidP="001C3D33">
      <w:pPr>
        <w:rPr>
          <w:rFonts w:eastAsia="宋体"/>
        </w:rPr>
      </w:pPr>
      <w:r w:rsidRPr="001C3D33">
        <w:rPr>
          <w:rFonts w:hint="eastAsia"/>
          <w:b/>
          <w:bCs/>
          <w:u w:val="single"/>
          <w:lang w:val="x-none"/>
        </w:rPr>
        <w:t>P</w:t>
      </w:r>
      <w:r w:rsidRPr="001C3D33">
        <w:rPr>
          <w:b/>
          <w:bCs/>
          <w:u w:val="single"/>
          <w:lang w:val="x-none"/>
        </w:rPr>
        <w:t xml:space="preserve">roposal </w:t>
      </w:r>
      <w:r w:rsidR="00BA5D4B">
        <w:rPr>
          <w:b/>
          <w:bCs/>
          <w:u w:val="single"/>
          <w:lang w:val="x-none"/>
        </w:rPr>
        <w:t>5</w:t>
      </w:r>
    </w:p>
    <w:p w14:paraId="73C0FCE1" w14:textId="7FDEF81E" w:rsidR="00611DE7" w:rsidRPr="00BB67D1" w:rsidRDefault="001C3D33" w:rsidP="001C3D33">
      <w:pPr>
        <w:pStyle w:val="Proposal-Observation"/>
        <w:numPr>
          <w:ilvl w:val="0"/>
          <w:numId w:val="6"/>
        </w:numPr>
        <w:ind w:leftChars="100" w:left="660" w:right="240"/>
        <w:rPr>
          <w:rFonts w:eastAsia="宋体"/>
        </w:rPr>
      </w:pPr>
      <w:r>
        <w:rPr>
          <w:rFonts w:eastAsia="宋体" w:hint="eastAsia"/>
        </w:rPr>
        <w:t>F</w:t>
      </w:r>
      <w:r w:rsidR="00BB67D1">
        <w:rPr>
          <w:rFonts w:eastAsia="宋体"/>
        </w:rPr>
        <w:t>or Scenario 2,</w:t>
      </w:r>
      <w:r w:rsidR="00611DE7" w:rsidRPr="00C25E82">
        <w:rPr>
          <w:rFonts w:eastAsia="宋体"/>
        </w:rPr>
        <w:t xml:space="preserve"> when a MAC CE activates TCI states for a candidate cell, it also applies to the candidate cells in the same </w:t>
      </w:r>
      <w:proofErr w:type="spellStart"/>
      <w:r w:rsidR="00611DE7" w:rsidRPr="005E081E">
        <w:rPr>
          <w:rFonts w:eastAsia="宋体"/>
        </w:rPr>
        <w:t>simultaneousU</w:t>
      </w:r>
      <w:proofErr w:type="spellEnd"/>
      <w:r w:rsidR="00611DE7" w:rsidRPr="005E081E">
        <w:rPr>
          <w:rFonts w:eastAsia="宋体"/>
        </w:rPr>
        <w:t>-TCI-UpdateList.</w:t>
      </w:r>
    </w:p>
    <w:p w14:paraId="5D5F252B" w14:textId="77777777" w:rsidR="00C76D7B" w:rsidRDefault="00C76D7B" w:rsidP="00E33BEA">
      <w:pPr>
        <w:rPr>
          <w:rFonts w:eastAsia="宋体"/>
          <w:lang w:val="x-none" w:eastAsia="zh-CN"/>
        </w:rPr>
      </w:pPr>
    </w:p>
    <w:p w14:paraId="18D6B701" w14:textId="227D6E4F" w:rsidR="00260AE6" w:rsidRDefault="008F7365" w:rsidP="00E33BEA">
      <w:pPr>
        <w:rPr>
          <w:rFonts w:eastAsia="宋体"/>
          <w:lang w:val="x-none" w:eastAsia="zh-CN"/>
        </w:rPr>
      </w:pPr>
      <w:r>
        <w:rPr>
          <w:rFonts w:eastAsia="宋体"/>
          <w:lang w:val="x-none" w:eastAsia="zh-CN"/>
        </w:rPr>
        <w:t xml:space="preserve">As aforementioned, the MAC CE for </w:t>
      </w:r>
      <w:r w:rsidR="00EB6DF2">
        <w:rPr>
          <w:rFonts w:eastAsia="宋体"/>
          <w:lang w:val="x-none" w:eastAsia="zh-CN"/>
        </w:rPr>
        <w:t xml:space="preserve">the purpose of the </w:t>
      </w:r>
      <w:r>
        <w:rPr>
          <w:rFonts w:eastAsia="宋体"/>
          <w:lang w:val="x-none" w:eastAsia="zh-CN"/>
        </w:rPr>
        <w:t xml:space="preserve">TCI state activation can be used together with </w:t>
      </w:r>
      <w:proofErr w:type="spellStart"/>
      <w:r w:rsidRPr="000B042E">
        <w:rPr>
          <w:rFonts w:eastAsia="宋体"/>
          <w:lang w:val="x-none" w:eastAsia="zh-CN"/>
        </w:rPr>
        <w:t>simultaneousU</w:t>
      </w:r>
      <w:proofErr w:type="spellEnd"/>
      <w:r w:rsidRPr="000B042E">
        <w:rPr>
          <w:rFonts w:eastAsia="宋体"/>
          <w:lang w:val="x-none" w:eastAsia="zh-CN"/>
        </w:rPr>
        <w:t>-TCI-UpdateList</w:t>
      </w:r>
      <w:r>
        <w:rPr>
          <w:rFonts w:eastAsia="宋体"/>
          <w:lang w:val="x-none" w:eastAsia="zh-CN"/>
        </w:rPr>
        <w:t xml:space="preserve">. </w:t>
      </w:r>
      <w:r w:rsidR="00EB6DF2">
        <w:rPr>
          <w:rFonts w:eastAsia="宋体"/>
          <w:lang w:val="x-none" w:eastAsia="zh-CN"/>
        </w:rPr>
        <w:t xml:space="preserve">To use </w:t>
      </w:r>
      <w:proofErr w:type="spellStart"/>
      <w:r w:rsidR="00EB6DF2" w:rsidRPr="000B042E">
        <w:rPr>
          <w:rFonts w:eastAsia="宋体"/>
          <w:lang w:val="x-none" w:eastAsia="zh-CN"/>
        </w:rPr>
        <w:t>simultaneousU</w:t>
      </w:r>
      <w:proofErr w:type="spellEnd"/>
      <w:r w:rsidR="00EB6DF2" w:rsidRPr="000B042E">
        <w:rPr>
          <w:rFonts w:eastAsia="宋体"/>
          <w:lang w:val="x-none" w:eastAsia="zh-CN"/>
        </w:rPr>
        <w:t>-TCI-UpdateList</w:t>
      </w:r>
      <w:r w:rsidR="00EB6DF2">
        <w:rPr>
          <w:rFonts w:eastAsia="宋体"/>
          <w:lang w:val="x-none" w:eastAsia="zh-CN"/>
        </w:rPr>
        <w:t xml:space="preserve"> when performing the TCI state activation</w:t>
      </w:r>
      <w:r>
        <w:rPr>
          <w:rFonts w:eastAsia="宋体"/>
          <w:lang w:val="x-none" w:eastAsia="zh-CN"/>
        </w:rPr>
        <w:t xml:space="preserve">, </w:t>
      </w:r>
      <w:proofErr w:type="spellStart"/>
      <w:r w:rsidRPr="000B042E">
        <w:rPr>
          <w:rFonts w:eastAsia="宋体"/>
          <w:lang w:val="x-none" w:eastAsia="zh-CN"/>
        </w:rPr>
        <w:t>simultaneousU</w:t>
      </w:r>
      <w:proofErr w:type="spellEnd"/>
      <w:r w:rsidRPr="000B042E">
        <w:rPr>
          <w:rFonts w:eastAsia="宋体"/>
          <w:lang w:val="x-none" w:eastAsia="zh-CN"/>
        </w:rPr>
        <w:t>-TCI-UpdateList</w:t>
      </w:r>
      <w:r>
        <w:rPr>
          <w:rFonts w:eastAsia="宋体"/>
          <w:lang w:val="x-none" w:eastAsia="zh-CN"/>
        </w:rPr>
        <w:t xml:space="preserve"> should be provided before the TCI state activation. </w:t>
      </w:r>
      <w:r w:rsidR="00EB6DF2">
        <w:rPr>
          <w:rFonts w:eastAsia="宋体"/>
          <w:lang w:val="x-none" w:eastAsia="zh-CN"/>
        </w:rPr>
        <w:t xml:space="preserve">Also, </w:t>
      </w:r>
      <w:proofErr w:type="spellStart"/>
      <w:r w:rsidR="00EB6DF2">
        <w:rPr>
          <w:rFonts w:eastAsia="宋体"/>
          <w:lang w:val="x-none" w:eastAsia="zh-CN"/>
        </w:rPr>
        <w:t>unifiedTCI-StateType</w:t>
      </w:r>
      <w:proofErr w:type="spellEnd"/>
      <w:r w:rsidR="00EB6DF2">
        <w:rPr>
          <w:rFonts w:eastAsia="宋体"/>
          <w:lang w:val="x-none" w:eastAsia="zh-CN"/>
        </w:rPr>
        <w:t xml:space="preserve"> is necessary for determining the activated TCI states when the MAC CE is received. Therefore, </w:t>
      </w:r>
      <w:proofErr w:type="spellStart"/>
      <w:r w:rsidR="00EB6DF2">
        <w:rPr>
          <w:rFonts w:eastAsia="宋体"/>
          <w:lang w:val="x-none" w:eastAsia="zh-CN"/>
        </w:rPr>
        <w:t>unifiedTCI-StateType</w:t>
      </w:r>
      <w:proofErr w:type="spellEnd"/>
      <w:r w:rsidR="00EB6DF2">
        <w:rPr>
          <w:rFonts w:eastAsia="宋体"/>
          <w:lang w:val="x-none" w:eastAsia="zh-CN"/>
        </w:rPr>
        <w:t xml:space="preserve"> should be also provided before the TCI state activation. </w:t>
      </w:r>
    </w:p>
    <w:p w14:paraId="7D2D9545" w14:textId="01378B4D" w:rsidR="00260AE6" w:rsidRDefault="00260AE6" w:rsidP="00260AE6">
      <w:pPr>
        <w:rPr>
          <w:rFonts w:eastAsia="宋体"/>
        </w:rPr>
      </w:pPr>
      <w:r w:rsidRPr="001C3D33">
        <w:rPr>
          <w:rFonts w:hint="eastAsia"/>
          <w:b/>
          <w:bCs/>
          <w:u w:val="single"/>
          <w:lang w:val="x-none"/>
        </w:rPr>
        <w:t>P</w:t>
      </w:r>
      <w:r w:rsidRPr="001C3D33">
        <w:rPr>
          <w:b/>
          <w:bCs/>
          <w:u w:val="single"/>
          <w:lang w:val="x-none"/>
        </w:rPr>
        <w:t xml:space="preserve">roposal </w:t>
      </w:r>
      <w:r w:rsidR="00BA5D4B">
        <w:rPr>
          <w:b/>
          <w:bCs/>
          <w:u w:val="single"/>
          <w:lang w:val="x-none"/>
        </w:rPr>
        <w:t>6</w:t>
      </w:r>
    </w:p>
    <w:p w14:paraId="16877B89" w14:textId="494CF8DE" w:rsidR="00260AE6" w:rsidRDefault="00260AE6" w:rsidP="00260AE6">
      <w:pPr>
        <w:pStyle w:val="Proposal-Observation"/>
        <w:numPr>
          <w:ilvl w:val="0"/>
          <w:numId w:val="6"/>
        </w:numPr>
        <w:ind w:leftChars="100" w:left="660" w:right="240"/>
        <w:rPr>
          <w:rFonts w:eastAsia="宋体"/>
        </w:rPr>
      </w:pPr>
      <w:r>
        <w:rPr>
          <w:rFonts w:eastAsia="宋体" w:hint="eastAsia"/>
        </w:rPr>
        <w:lastRenderedPageBreak/>
        <w:t>F</w:t>
      </w:r>
      <w:r>
        <w:rPr>
          <w:rFonts w:eastAsia="宋体"/>
        </w:rPr>
        <w:t>or Scenario 2,</w:t>
      </w:r>
      <w:r w:rsidRPr="00C25E82">
        <w:rPr>
          <w:rFonts w:eastAsia="宋体"/>
        </w:rPr>
        <w:t xml:space="preserve"> </w:t>
      </w:r>
      <w:r>
        <w:rPr>
          <w:rFonts w:eastAsia="宋体" w:hint="eastAsia"/>
        </w:rPr>
        <w:t>a</w:t>
      </w:r>
      <w:r>
        <w:rPr>
          <w:rFonts w:eastAsia="宋体"/>
        </w:rPr>
        <w:t>t least</w:t>
      </w:r>
      <w:r w:rsidR="00DE096C">
        <w:rPr>
          <w:rFonts w:eastAsia="宋体"/>
        </w:rPr>
        <w:t xml:space="preserve"> the following parameters are provided before the TCI state activation.</w:t>
      </w:r>
    </w:p>
    <w:p w14:paraId="2977DA49" w14:textId="44044757" w:rsidR="00260AE6" w:rsidRDefault="00260AE6" w:rsidP="00260AE6">
      <w:pPr>
        <w:pStyle w:val="Proposal-Observation"/>
        <w:numPr>
          <w:ilvl w:val="1"/>
          <w:numId w:val="6"/>
        </w:numPr>
        <w:ind w:right="240"/>
        <w:rPr>
          <w:rFonts w:eastAsia="宋体"/>
        </w:rPr>
      </w:pPr>
      <w:proofErr w:type="spellStart"/>
      <w:r w:rsidRPr="005E081E">
        <w:rPr>
          <w:rFonts w:eastAsia="宋体"/>
        </w:rPr>
        <w:t>simultaneousU</w:t>
      </w:r>
      <w:proofErr w:type="spellEnd"/>
      <w:r w:rsidRPr="005E081E">
        <w:rPr>
          <w:rFonts w:eastAsia="宋体"/>
        </w:rPr>
        <w:t>-TCI-UpdateList</w:t>
      </w:r>
      <w:r w:rsidR="00691C21">
        <w:rPr>
          <w:rFonts w:eastAsia="宋体"/>
        </w:rPr>
        <w:t>.</w:t>
      </w:r>
    </w:p>
    <w:p w14:paraId="23436CC9" w14:textId="08615A7A" w:rsidR="00260AE6" w:rsidRPr="00FE1109" w:rsidRDefault="00260AE6" w:rsidP="00FE1109">
      <w:pPr>
        <w:pStyle w:val="Proposal-Observation"/>
        <w:numPr>
          <w:ilvl w:val="1"/>
          <w:numId w:val="6"/>
        </w:numPr>
        <w:ind w:right="240"/>
        <w:rPr>
          <w:rFonts w:eastAsia="宋体"/>
          <w:lang w:val="x-none"/>
        </w:rPr>
      </w:pPr>
      <w:proofErr w:type="spellStart"/>
      <w:r w:rsidRPr="00FE1109">
        <w:rPr>
          <w:rFonts w:eastAsia="宋体"/>
        </w:rPr>
        <w:t>unifiedTCI-StateType</w:t>
      </w:r>
      <w:proofErr w:type="spellEnd"/>
      <w:r w:rsidRPr="00FE1109">
        <w:rPr>
          <w:rFonts w:eastAsia="宋体"/>
        </w:rPr>
        <w:t xml:space="preserve"> .</w:t>
      </w:r>
    </w:p>
    <w:p w14:paraId="5DD93BF0" w14:textId="77777777" w:rsidR="00260AE6" w:rsidRDefault="00260AE6" w:rsidP="00E33BEA">
      <w:pPr>
        <w:rPr>
          <w:rFonts w:eastAsia="宋体"/>
          <w:lang w:val="x-none" w:eastAsia="zh-CN"/>
        </w:rPr>
      </w:pPr>
    </w:p>
    <w:p w14:paraId="3E101521" w14:textId="794DCF32" w:rsidR="00FE6C58" w:rsidRDefault="00FE6C58" w:rsidP="00015E24">
      <w:pPr>
        <w:spacing w:afterLines="50" w:after="180" w:afterAutospacing="0"/>
        <w:rPr>
          <w:lang w:val="x-none"/>
        </w:rPr>
      </w:pPr>
      <w:r>
        <w:rPr>
          <w:rFonts w:eastAsia="宋体"/>
          <w:lang w:val="x-none" w:eastAsia="zh-CN"/>
        </w:rPr>
        <w:t>In the RAN1#11</w:t>
      </w:r>
      <w:r w:rsidR="000824CC">
        <w:rPr>
          <w:rFonts w:eastAsia="宋体"/>
          <w:lang w:val="x-none" w:eastAsia="zh-CN"/>
        </w:rPr>
        <w:t>3</w:t>
      </w:r>
      <w:r>
        <w:rPr>
          <w:rFonts w:eastAsia="宋体"/>
          <w:lang w:val="x-none" w:eastAsia="zh-CN"/>
        </w:rPr>
        <w:t xml:space="preserve"> meeting, the following agreement has been achieved [1].</w:t>
      </w:r>
    </w:p>
    <w:tbl>
      <w:tblPr>
        <w:tblStyle w:val="af1"/>
        <w:tblW w:w="0" w:type="auto"/>
        <w:jc w:val="center"/>
        <w:tblLook w:val="04A0" w:firstRow="1" w:lastRow="0" w:firstColumn="1" w:lastColumn="0" w:noHBand="0" w:noVBand="1"/>
      </w:tblPr>
      <w:tblGrid>
        <w:gridCol w:w="9962"/>
      </w:tblGrid>
      <w:tr w:rsidR="00FE6C58" w:rsidRPr="00980D20" w14:paraId="477D5F79" w14:textId="77777777" w:rsidTr="00E40070">
        <w:trPr>
          <w:jc w:val="center"/>
        </w:trPr>
        <w:tc>
          <w:tcPr>
            <w:tcW w:w="9962" w:type="dxa"/>
          </w:tcPr>
          <w:p w14:paraId="49C2817E" w14:textId="77777777" w:rsidR="00FE6C58" w:rsidRDefault="00FE6C58" w:rsidP="00015E24">
            <w:pPr>
              <w:spacing w:afterLines="50" w:after="180" w:afterAutospacing="0"/>
              <w:rPr>
                <w:rFonts w:eastAsia="等线"/>
                <w:highlight w:val="green"/>
                <w:lang w:eastAsia="zh-CN"/>
              </w:rPr>
            </w:pPr>
            <w:r>
              <w:rPr>
                <w:rFonts w:eastAsia="等线" w:hint="eastAsia"/>
                <w:highlight w:val="green"/>
                <w:lang w:eastAsia="zh-CN"/>
              </w:rPr>
              <w:t>A</w:t>
            </w:r>
            <w:r>
              <w:rPr>
                <w:rFonts w:eastAsia="等线"/>
                <w:highlight w:val="green"/>
                <w:lang w:eastAsia="zh-CN"/>
              </w:rPr>
              <w:t>greement</w:t>
            </w:r>
          </w:p>
          <w:p w14:paraId="45EE9F6E" w14:textId="77777777" w:rsidR="00FE6C58" w:rsidRPr="004117B5" w:rsidRDefault="00FE6C58" w:rsidP="00FE6C58">
            <w:pPr>
              <w:pStyle w:val="a"/>
              <w:numPr>
                <w:ilvl w:val="0"/>
                <w:numId w:val="12"/>
              </w:numPr>
            </w:pPr>
            <w:r w:rsidRPr="004117B5">
              <w:t>For the beam application time for Rel-18 LTM,</w:t>
            </w:r>
          </w:p>
          <w:p w14:paraId="6E6724F0" w14:textId="77777777" w:rsidR="00FE6C58" w:rsidRPr="004117B5" w:rsidRDefault="00FE6C58" w:rsidP="00FE6C58">
            <w:pPr>
              <w:pStyle w:val="a"/>
              <w:numPr>
                <w:ilvl w:val="1"/>
                <w:numId w:val="12"/>
              </w:numPr>
            </w:pPr>
            <w:r>
              <w:t>Beam</w:t>
            </w:r>
            <w:r w:rsidRPr="004117B5">
              <w:t xml:space="preserve"> application time is </w:t>
            </w:r>
            <w:r>
              <w:t>supported</w:t>
            </w:r>
            <w:r w:rsidRPr="004117B5">
              <w:t xml:space="preserve">, and starts after the last symbol of the PUCCH or PUSCH carrying the HARQ-ACK for the PDSCH which carries MAC-CE containing </w:t>
            </w:r>
            <w:r>
              <w:t>cell switch command with</w:t>
            </w:r>
            <w:r w:rsidRPr="00FA141A">
              <w:t xml:space="preserve"> the beam indication</w:t>
            </w:r>
            <w:r w:rsidRPr="004117B5">
              <w:t xml:space="preserve"> for the target cell(s)</w:t>
            </w:r>
          </w:p>
          <w:p w14:paraId="0600ED33" w14:textId="77777777" w:rsidR="00FE6C58" w:rsidRDefault="00FE6C58" w:rsidP="00FE6C58">
            <w:pPr>
              <w:pStyle w:val="a"/>
              <w:numPr>
                <w:ilvl w:val="2"/>
                <w:numId w:val="12"/>
              </w:numPr>
            </w:pPr>
            <w:r w:rsidRPr="004117B5">
              <w:t>FFS: reference SCS, i.e. serving cell and/or target cell</w:t>
            </w:r>
          </w:p>
          <w:p w14:paraId="6C98611E" w14:textId="77777777" w:rsidR="00FE6C58" w:rsidRPr="004D0EBF" w:rsidRDefault="00FE6C58" w:rsidP="00FE6C58">
            <w:pPr>
              <w:pStyle w:val="a"/>
              <w:numPr>
                <w:ilvl w:val="1"/>
                <w:numId w:val="12"/>
              </w:numPr>
            </w:pPr>
            <w:r w:rsidRPr="004117B5">
              <w:t>At least the following compo</w:t>
            </w:r>
            <w:r w:rsidRPr="004D0EBF">
              <w:t>nents are further studied to define the beam application time</w:t>
            </w:r>
          </w:p>
          <w:p w14:paraId="2CD2A074" w14:textId="77777777" w:rsidR="00FE6C58" w:rsidRPr="004D0EBF" w:rsidRDefault="00FE6C58" w:rsidP="00FE6C58">
            <w:pPr>
              <w:pStyle w:val="a"/>
              <w:numPr>
                <w:ilvl w:val="2"/>
                <w:numId w:val="12"/>
              </w:numPr>
            </w:pPr>
            <w:r w:rsidRPr="004D0EBF">
              <w:t>Whether TCI state activation is received before/together with cell switch command</w:t>
            </w:r>
          </w:p>
          <w:p w14:paraId="276252FD" w14:textId="69732422" w:rsidR="00FE6C58" w:rsidRPr="004D0EBF" w:rsidRDefault="00FE6C58" w:rsidP="00FE6C58">
            <w:pPr>
              <w:pStyle w:val="a"/>
              <w:numPr>
                <w:ilvl w:val="2"/>
                <w:numId w:val="12"/>
              </w:numPr>
            </w:pPr>
            <w:r w:rsidRPr="004D0EBF">
              <w:rPr>
                <w:iCs/>
                <w:lang w:val="en-US"/>
              </w:rPr>
              <w:t xml:space="preserve">Legacy values, i.e. </w:t>
            </w:r>
            <m:oMath>
              <m:sSubSup>
                <m:sSubSupPr>
                  <m:ctrlPr>
                    <w:rPr>
                      <w:rFonts w:ascii="Cambria Math" w:hAnsi="Cambria Math"/>
                      <w:i/>
                      <w:iCs/>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D0EBF">
              <w:rPr>
                <w:iCs/>
                <w:lang w:val="en-US"/>
              </w:rPr>
              <w:t xml:space="preserve"> and BeamAppTime-r17</w:t>
            </w:r>
          </w:p>
          <w:p w14:paraId="02168D61" w14:textId="77777777" w:rsidR="00FE6C58" w:rsidRPr="004D0EBF" w:rsidRDefault="00FE6C58" w:rsidP="00FE6C58">
            <w:pPr>
              <w:pStyle w:val="a"/>
              <w:numPr>
                <w:ilvl w:val="2"/>
                <w:numId w:val="12"/>
              </w:numPr>
            </w:pPr>
            <w:r w:rsidRPr="004D0EBF">
              <w:rPr>
                <w:bCs/>
                <w:iCs/>
              </w:rPr>
              <w:t>RF retuning time when inter-frequency switch is performed, which is up to RAN4</w:t>
            </w:r>
          </w:p>
          <w:p w14:paraId="363A7112" w14:textId="77777777" w:rsidR="00FE6C58" w:rsidRPr="004D0EBF" w:rsidRDefault="00FE6C58" w:rsidP="00FE6C58">
            <w:pPr>
              <w:pStyle w:val="a"/>
              <w:numPr>
                <w:ilvl w:val="2"/>
                <w:numId w:val="12"/>
              </w:numPr>
            </w:pPr>
            <w:r w:rsidRPr="004D0EBF">
              <w:rPr>
                <w:bCs/>
                <w:iCs/>
              </w:rPr>
              <w:t>Whether the target cell is one of the current serving cells</w:t>
            </w:r>
          </w:p>
          <w:p w14:paraId="7B10872B" w14:textId="77777777" w:rsidR="00FE6C58" w:rsidRPr="004117B5" w:rsidRDefault="00FE6C58" w:rsidP="00FE6C58">
            <w:pPr>
              <w:pStyle w:val="a"/>
              <w:numPr>
                <w:ilvl w:val="0"/>
                <w:numId w:val="12"/>
              </w:numPr>
            </w:pPr>
            <w:r w:rsidRPr="004D0EBF">
              <w:t>Cell switching time, which is defined by RAN2 and RAN4, ma</w:t>
            </w:r>
            <w:r w:rsidRPr="004117B5">
              <w:t xml:space="preserve">y or may not include </w:t>
            </w:r>
            <w:r>
              <w:t xml:space="preserve">the potential components of </w:t>
            </w:r>
            <w:r w:rsidRPr="004117B5">
              <w:t>beam application time</w:t>
            </w:r>
            <w:r>
              <w:t xml:space="preserve"> above</w:t>
            </w:r>
            <w:r w:rsidRPr="004117B5">
              <w:t xml:space="preserve">. </w:t>
            </w:r>
          </w:p>
          <w:p w14:paraId="37DD7FD2" w14:textId="433E067C" w:rsidR="00FE6C58" w:rsidRPr="00FE6C58" w:rsidRDefault="00FE6C58" w:rsidP="00015E24">
            <w:pPr>
              <w:pStyle w:val="a"/>
              <w:numPr>
                <w:ilvl w:val="0"/>
                <w:numId w:val="12"/>
              </w:numPr>
              <w:spacing w:afterLines="50" w:after="180" w:afterAutospacing="0"/>
              <w:ind w:left="357" w:hanging="357"/>
            </w:pPr>
            <w:r w:rsidRPr="004117B5">
              <w:rPr>
                <w:bCs/>
                <w:iCs/>
              </w:rPr>
              <w:t>Send an LS to RAN2 and RAN4 to ask their feedback</w:t>
            </w:r>
          </w:p>
        </w:tc>
      </w:tr>
    </w:tbl>
    <w:p w14:paraId="2FF810EC" w14:textId="4CA48818" w:rsidR="00FE6C58" w:rsidRDefault="00FE6C58" w:rsidP="00015E24">
      <w:pPr>
        <w:spacing w:beforeLines="50" w:before="180"/>
        <w:rPr>
          <w:rFonts w:eastAsia="宋体"/>
          <w:lang w:val="x-none" w:eastAsia="zh-CN"/>
        </w:rPr>
      </w:pPr>
      <w:r>
        <w:rPr>
          <w:rFonts w:eastAsia="宋体"/>
          <w:lang w:val="x-none" w:eastAsia="zh-CN"/>
        </w:rPr>
        <w:t xml:space="preserve">The agreement is about how to define the beam application time for Rel-18 LTM. </w:t>
      </w:r>
      <w:r w:rsidR="008F5C5E">
        <w:rPr>
          <w:rFonts w:eastAsia="宋体"/>
          <w:lang w:val="x-none" w:eastAsia="zh-CN"/>
        </w:rPr>
        <w:t>T</w:t>
      </w:r>
      <w:r w:rsidR="008F5C5E">
        <w:rPr>
          <w:rFonts w:eastAsia="宋体" w:hint="eastAsia"/>
          <w:lang w:val="x-none" w:eastAsia="zh-CN"/>
        </w:rPr>
        <w:t>he</w:t>
      </w:r>
      <w:r w:rsidR="008F5C5E">
        <w:rPr>
          <w:rFonts w:eastAsia="宋体"/>
          <w:lang w:val="x-none" w:eastAsia="zh-CN"/>
        </w:rPr>
        <w:t xml:space="preserve"> general concept of the beam application time</w:t>
      </w:r>
      <w:r w:rsidR="00C17138">
        <w:rPr>
          <w:rFonts w:eastAsia="宋体"/>
          <w:lang w:val="x-none" w:eastAsia="zh-CN"/>
        </w:rPr>
        <w:t xml:space="preserve"> is shown in Figure 3.</w:t>
      </w:r>
    </w:p>
    <w:p w14:paraId="78406AC7" w14:textId="31316C64" w:rsidR="00E43D9C" w:rsidRDefault="00A30C49" w:rsidP="00E43D9C">
      <w:pPr>
        <w:spacing w:before="100" w:beforeAutospacing="1"/>
        <w:jc w:val="center"/>
      </w:pPr>
      <w:r>
        <w:object w:dxaOrig="11960" w:dyaOrig="2976" w14:anchorId="70548F76">
          <v:shape id="_x0000_i1030" type="#_x0000_t75" style="width:498.2pt;height:123.2pt" o:ole="">
            <v:imagedata r:id="rId15" o:title=""/>
          </v:shape>
          <o:OLEObject Type="Embed" ProgID="Visio.Drawing.11" ShapeID="_x0000_i1030" DrawAspect="Content" ObjectID="_1753248714" r:id="rId16"/>
        </w:object>
      </w:r>
    </w:p>
    <w:p w14:paraId="10D32DFD" w14:textId="02104C17" w:rsidR="00E43D9C" w:rsidRPr="00E43D9C" w:rsidRDefault="00E43D9C" w:rsidP="00C25E82">
      <w:pPr>
        <w:spacing w:before="100" w:beforeAutospacing="1"/>
        <w:jc w:val="center"/>
        <w:rPr>
          <w:rFonts w:eastAsia="宋体"/>
          <w:lang w:val="x-none" w:eastAsia="zh-CN"/>
        </w:rPr>
      </w:pPr>
      <w:r>
        <w:rPr>
          <w:rFonts w:eastAsia="宋体" w:hint="eastAsia"/>
          <w:lang w:eastAsia="zh-CN"/>
        </w:rPr>
        <w:t>F</w:t>
      </w:r>
      <w:r>
        <w:rPr>
          <w:rFonts w:eastAsia="宋体"/>
          <w:lang w:eastAsia="zh-CN"/>
        </w:rPr>
        <w:t xml:space="preserve">igure </w:t>
      </w:r>
      <w:r w:rsidR="00187451">
        <w:rPr>
          <w:rFonts w:eastAsia="宋体"/>
          <w:lang w:eastAsia="zh-CN"/>
        </w:rPr>
        <w:t>3</w:t>
      </w:r>
      <w:r>
        <w:rPr>
          <w:rFonts w:eastAsia="宋体"/>
          <w:lang w:eastAsia="zh-CN"/>
        </w:rPr>
        <w:t xml:space="preserve">. </w:t>
      </w:r>
      <w:r w:rsidR="008F5C5E">
        <w:rPr>
          <w:rFonts w:eastAsia="宋体"/>
          <w:lang w:eastAsia="zh-CN"/>
        </w:rPr>
        <w:t>T</w:t>
      </w:r>
      <w:r>
        <w:rPr>
          <w:rFonts w:eastAsia="宋体"/>
          <w:lang w:eastAsia="zh-CN"/>
        </w:rPr>
        <w:t>he</w:t>
      </w:r>
      <w:r w:rsidR="008F5C5E">
        <w:rPr>
          <w:rFonts w:eastAsia="宋体"/>
          <w:lang w:eastAsia="zh-CN"/>
        </w:rPr>
        <w:t xml:space="preserve"> concept of the</w:t>
      </w:r>
      <w:r>
        <w:rPr>
          <w:rFonts w:eastAsia="宋体"/>
          <w:lang w:eastAsia="zh-CN"/>
        </w:rPr>
        <w:t xml:space="preserve"> beam application time</w:t>
      </w:r>
    </w:p>
    <w:p w14:paraId="1FA05066" w14:textId="677A6A31" w:rsidR="00A27700" w:rsidRPr="00C25E82" w:rsidRDefault="00A27700" w:rsidP="00C25E82">
      <w:pPr>
        <w:spacing w:before="100" w:beforeAutospacing="1"/>
        <w:rPr>
          <w:rFonts w:eastAsia="宋体"/>
          <w:lang w:val="x-none" w:eastAsia="zh-CN"/>
        </w:rPr>
      </w:pPr>
      <w:r>
        <w:rPr>
          <w:rFonts w:eastAsia="宋体" w:hint="eastAsia"/>
          <w:lang w:val="x-none" w:eastAsia="zh-CN"/>
        </w:rPr>
        <w:t>A</w:t>
      </w:r>
      <w:r>
        <w:rPr>
          <w:rFonts w:eastAsia="宋体"/>
          <w:lang w:val="x-none" w:eastAsia="zh-CN"/>
        </w:rPr>
        <w:t>s aforementioned, a TCI state</w:t>
      </w:r>
      <w:r w:rsidR="004B4FC7">
        <w:rPr>
          <w:rFonts w:eastAsia="宋体"/>
          <w:lang w:val="x-none" w:eastAsia="zh-CN"/>
        </w:rPr>
        <w:t xml:space="preserve"> or a pair of TCI states</w:t>
      </w:r>
      <w:r>
        <w:rPr>
          <w:rFonts w:eastAsia="宋体"/>
          <w:lang w:val="x-none" w:eastAsia="zh-CN"/>
        </w:rPr>
        <w:t xml:space="preserve"> </w:t>
      </w:r>
      <w:r w:rsidR="004B4FC7">
        <w:rPr>
          <w:rFonts w:eastAsia="宋体"/>
          <w:lang w:val="x-none" w:eastAsia="zh-CN"/>
        </w:rPr>
        <w:t xml:space="preserve">indicated in the cell switch command </w:t>
      </w:r>
      <w:r>
        <w:rPr>
          <w:rFonts w:eastAsia="宋体"/>
          <w:lang w:val="x-none" w:eastAsia="zh-CN"/>
        </w:rPr>
        <w:t xml:space="preserve">can be applied to multiple </w:t>
      </w:r>
      <w:r w:rsidR="000836FF">
        <w:rPr>
          <w:rFonts w:eastAsia="宋体"/>
          <w:lang w:val="x-none" w:eastAsia="zh-CN"/>
        </w:rPr>
        <w:t xml:space="preserve">cells in the same </w:t>
      </w:r>
      <w:proofErr w:type="spellStart"/>
      <w:r w:rsidR="000836FF" w:rsidRPr="00BF499C">
        <w:rPr>
          <w:rFonts w:eastAsia="宋体"/>
          <w:lang w:val="x-none" w:eastAsia="zh-CN"/>
        </w:rPr>
        <w:t>simultaneousU</w:t>
      </w:r>
      <w:proofErr w:type="spellEnd"/>
      <w:r w:rsidR="000836FF" w:rsidRPr="00BF499C">
        <w:rPr>
          <w:rFonts w:eastAsia="宋体"/>
          <w:lang w:val="x-none" w:eastAsia="zh-CN"/>
        </w:rPr>
        <w:t>-TCI-UpdateList</w:t>
      </w:r>
      <w:r w:rsidR="000836FF">
        <w:rPr>
          <w:rFonts w:eastAsia="宋体"/>
          <w:lang w:val="x-none" w:eastAsia="zh-CN"/>
        </w:rPr>
        <w:t xml:space="preserve">. When applying the TCI state </w:t>
      </w:r>
      <w:r w:rsidR="004B4FC7">
        <w:rPr>
          <w:rFonts w:eastAsia="宋体"/>
          <w:lang w:val="x-none" w:eastAsia="zh-CN"/>
        </w:rPr>
        <w:t xml:space="preserve">or the pair of TCI states </w:t>
      </w:r>
      <w:r w:rsidR="000836FF">
        <w:rPr>
          <w:rFonts w:eastAsia="宋体"/>
          <w:lang w:val="x-none" w:eastAsia="zh-CN"/>
        </w:rPr>
        <w:t xml:space="preserve">to those cells, the beam application time should be the same for all the cells in the same </w:t>
      </w:r>
      <w:proofErr w:type="spellStart"/>
      <w:r w:rsidR="000836FF" w:rsidRPr="00BF499C">
        <w:rPr>
          <w:rFonts w:eastAsia="宋体"/>
          <w:lang w:val="x-none" w:eastAsia="zh-CN"/>
        </w:rPr>
        <w:t>simultaneousU</w:t>
      </w:r>
      <w:proofErr w:type="spellEnd"/>
      <w:r w:rsidR="000836FF" w:rsidRPr="00BF499C">
        <w:rPr>
          <w:rFonts w:eastAsia="宋体"/>
          <w:lang w:val="x-none" w:eastAsia="zh-CN"/>
        </w:rPr>
        <w:t>-TCI-UpdateList</w:t>
      </w:r>
      <w:r w:rsidR="000836FF">
        <w:rPr>
          <w:rFonts w:eastAsia="宋体"/>
          <w:lang w:val="x-none" w:eastAsia="zh-CN"/>
        </w:rPr>
        <w:t>.</w:t>
      </w:r>
    </w:p>
    <w:p w14:paraId="0F8F2E35" w14:textId="40712FDD" w:rsidR="00FE66A0" w:rsidRPr="00C8509B" w:rsidRDefault="00FE66A0" w:rsidP="00FE66A0">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sidR="00DA06BA">
        <w:rPr>
          <w:b/>
          <w:bCs/>
          <w:u w:val="single"/>
          <w:lang w:val="x-none"/>
        </w:rPr>
        <w:t>7</w:t>
      </w:r>
    </w:p>
    <w:p w14:paraId="02EC6CE3" w14:textId="7C989336" w:rsidR="00FE66A0" w:rsidRDefault="00FE66A0" w:rsidP="00FE66A0">
      <w:pPr>
        <w:pStyle w:val="Proposal-Observation"/>
        <w:numPr>
          <w:ilvl w:val="0"/>
          <w:numId w:val="6"/>
        </w:numPr>
        <w:ind w:leftChars="100" w:left="660" w:right="240"/>
      </w:pPr>
      <w:r>
        <w:t xml:space="preserve">For Scenario 2, </w:t>
      </w:r>
      <w:r w:rsidR="00D70D72">
        <w:t>the</w:t>
      </w:r>
      <w:r>
        <w:t xml:space="preserve"> beam application time </w:t>
      </w:r>
      <w:r w:rsidR="00D70D72">
        <w:t xml:space="preserve">is the same for </w:t>
      </w:r>
      <w:r w:rsidR="00A27700">
        <w:t>multiple</w:t>
      </w:r>
      <w:r w:rsidR="00D70D72">
        <w:t xml:space="preserve"> cells in </w:t>
      </w:r>
      <w:r w:rsidR="00D70D72">
        <w:rPr>
          <w:rFonts w:eastAsia="宋体"/>
        </w:rPr>
        <w:t>the same</w:t>
      </w:r>
      <w:r w:rsidR="00D70D72" w:rsidRPr="00A0649B">
        <w:rPr>
          <w:rFonts w:eastAsia="宋体"/>
        </w:rPr>
        <w:t xml:space="preserve"> </w:t>
      </w:r>
      <w:proofErr w:type="spellStart"/>
      <w:r w:rsidR="00D70D72" w:rsidRPr="005E081E">
        <w:rPr>
          <w:rFonts w:eastAsia="宋体"/>
        </w:rPr>
        <w:t>simultaneousU</w:t>
      </w:r>
      <w:proofErr w:type="spellEnd"/>
      <w:r w:rsidR="00D70D72" w:rsidRPr="005E081E">
        <w:rPr>
          <w:rFonts w:eastAsia="宋体"/>
        </w:rPr>
        <w:t>-TCI-UpdateList</w:t>
      </w:r>
      <w:r>
        <w:t>.</w:t>
      </w:r>
    </w:p>
    <w:p w14:paraId="1B04F98A" w14:textId="77777777" w:rsidR="008F02BE" w:rsidRDefault="008F02BE" w:rsidP="00E33BEA">
      <w:pPr>
        <w:rPr>
          <w:lang w:val="en-US"/>
        </w:rPr>
      </w:pPr>
    </w:p>
    <w:p w14:paraId="5DE0EF6D" w14:textId="77777777" w:rsidR="005F5FF7" w:rsidRDefault="005F5FF7" w:rsidP="00894E40">
      <w:pPr>
        <w:spacing w:afterLines="50" w:after="180" w:afterAutospacing="0"/>
        <w:rPr>
          <w:lang w:val="x-none"/>
        </w:rPr>
      </w:pPr>
      <w:r>
        <w:rPr>
          <w:rFonts w:eastAsia="宋体"/>
          <w:lang w:val="x-none" w:eastAsia="zh-CN"/>
        </w:rPr>
        <w:t>In the RAN1#113 meeting, the following agreement has been achieved [1].</w:t>
      </w:r>
    </w:p>
    <w:tbl>
      <w:tblPr>
        <w:tblStyle w:val="af1"/>
        <w:tblW w:w="0" w:type="auto"/>
        <w:jc w:val="center"/>
        <w:tblLook w:val="04A0" w:firstRow="1" w:lastRow="0" w:firstColumn="1" w:lastColumn="0" w:noHBand="0" w:noVBand="1"/>
      </w:tblPr>
      <w:tblGrid>
        <w:gridCol w:w="9962"/>
      </w:tblGrid>
      <w:tr w:rsidR="005F5FF7" w:rsidRPr="00980D20" w14:paraId="0CB5553A" w14:textId="77777777" w:rsidTr="00696010">
        <w:trPr>
          <w:jc w:val="center"/>
        </w:trPr>
        <w:tc>
          <w:tcPr>
            <w:tcW w:w="9962" w:type="dxa"/>
          </w:tcPr>
          <w:p w14:paraId="48910CFF" w14:textId="77777777" w:rsidR="006B134C" w:rsidRPr="00183296" w:rsidRDefault="006B134C" w:rsidP="006B134C">
            <w:pPr>
              <w:shd w:val="clear" w:color="auto" w:fill="FFFFFF"/>
              <w:spacing w:afterLines="50" w:after="180" w:afterAutospacing="0"/>
              <w:rPr>
                <w:highlight w:val="green"/>
              </w:rPr>
            </w:pPr>
            <w:r w:rsidRPr="00183296">
              <w:rPr>
                <w:highlight w:val="green"/>
              </w:rPr>
              <w:t>Agreement </w:t>
            </w:r>
          </w:p>
          <w:p w14:paraId="68908E70" w14:textId="769546CE" w:rsidR="005F5FF7" w:rsidRPr="006B134C" w:rsidRDefault="006B134C" w:rsidP="00894E40">
            <w:pPr>
              <w:spacing w:afterLines="50" w:after="180" w:afterAutospacing="0"/>
            </w:pPr>
            <w:r w:rsidRPr="00183296">
              <w:t xml:space="preserve">A UE </w:t>
            </w:r>
            <w:r>
              <w:t>can</w:t>
            </w:r>
            <w:r w:rsidRPr="00183296">
              <w:t xml:space="preserve"> be indicated and activated a single joint TCI state or a pair of UL/DL TCI state in the cell switch command.</w:t>
            </w:r>
          </w:p>
        </w:tc>
      </w:tr>
    </w:tbl>
    <w:p w14:paraId="34F01D55" w14:textId="612A418E" w:rsidR="000F65CE" w:rsidRDefault="00A037A1" w:rsidP="006B134C">
      <w:pPr>
        <w:spacing w:beforeLines="50" w:before="180"/>
        <w:rPr>
          <w:lang w:val="en-US"/>
        </w:rPr>
      </w:pPr>
      <w:r>
        <w:rPr>
          <w:rFonts w:eastAsia="宋体"/>
          <w:lang w:val="x-none" w:eastAsia="zh-CN"/>
        </w:rPr>
        <w:t>Accor</w:t>
      </w:r>
      <w:r w:rsidR="006E57F7">
        <w:rPr>
          <w:rFonts w:eastAsia="宋体"/>
          <w:lang w:val="x-none" w:eastAsia="zh-CN"/>
        </w:rPr>
        <w:t>d</w:t>
      </w:r>
      <w:r>
        <w:rPr>
          <w:rFonts w:eastAsia="宋体"/>
          <w:lang w:val="x-none" w:eastAsia="zh-CN"/>
        </w:rPr>
        <w:t>ing to t</w:t>
      </w:r>
      <w:r w:rsidR="005F5FF7">
        <w:rPr>
          <w:rFonts w:eastAsia="宋体"/>
          <w:lang w:val="x-none" w:eastAsia="zh-CN"/>
        </w:rPr>
        <w:t>he agreement</w:t>
      </w:r>
      <w:r>
        <w:rPr>
          <w:rFonts w:eastAsia="宋体"/>
          <w:lang w:val="x-none" w:eastAsia="zh-CN"/>
        </w:rPr>
        <w:t>,</w:t>
      </w:r>
      <w:r w:rsidR="005F5FF7">
        <w:rPr>
          <w:rFonts w:eastAsia="宋体"/>
          <w:lang w:val="x-none" w:eastAsia="zh-CN"/>
        </w:rPr>
        <w:t xml:space="preserve"> </w:t>
      </w:r>
      <w:r w:rsidR="005E1E5D">
        <w:rPr>
          <w:rFonts w:eastAsia="宋体"/>
          <w:lang w:val="x-none" w:eastAsia="zh-CN"/>
        </w:rPr>
        <w:t>the TCI state activation can be received together with the cell switch command</w:t>
      </w:r>
      <w:r w:rsidR="00345A1A">
        <w:rPr>
          <w:rFonts w:eastAsia="宋体"/>
          <w:lang w:val="x-none" w:eastAsia="zh-CN"/>
        </w:rPr>
        <w:t>. For simplicity, this case is denoted as Case 1</w:t>
      </w:r>
      <w:r w:rsidR="005E1E5D">
        <w:rPr>
          <w:rFonts w:eastAsia="宋体"/>
          <w:lang w:val="x-none" w:eastAsia="zh-CN"/>
        </w:rPr>
        <w:t xml:space="preserve">. As aforementioned, </w:t>
      </w:r>
      <w:r w:rsidR="00960CCC">
        <w:rPr>
          <w:rFonts w:eastAsia="宋体"/>
          <w:lang w:val="x-none" w:eastAsia="zh-CN"/>
        </w:rPr>
        <w:t xml:space="preserve">the TCI state activation can be also received before the cell switch command. </w:t>
      </w:r>
      <w:r w:rsidR="00345A1A">
        <w:rPr>
          <w:rFonts w:eastAsia="宋体"/>
          <w:lang w:val="x-none" w:eastAsia="zh-CN"/>
        </w:rPr>
        <w:t xml:space="preserve">Similarly, this case is denoted as Case 2. </w:t>
      </w:r>
      <w:r w:rsidR="00DF1D73">
        <w:rPr>
          <w:rFonts w:eastAsia="宋体"/>
          <w:lang w:val="x-none" w:eastAsia="zh-CN"/>
        </w:rPr>
        <w:t xml:space="preserve">If the beam application time will be </w:t>
      </w:r>
      <w:r w:rsidR="00595ABC">
        <w:rPr>
          <w:rFonts w:eastAsia="宋体"/>
          <w:lang w:val="x-none" w:eastAsia="zh-CN"/>
        </w:rPr>
        <w:t>defined for</w:t>
      </w:r>
      <w:r w:rsidR="00253F24">
        <w:rPr>
          <w:rFonts w:eastAsia="宋体"/>
          <w:lang w:val="x-none" w:eastAsia="zh-CN"/>
        </w:rPr>
        <w:t xml:space="preserve"> both</w:t>
      </w:r>
      <w:r w:rsidR="00595ABC">
        <w:rPr>
          <w:rFonts w:eastAsia="宋体"/>
          <w:lang w:val="x-none" w:eastAsia="zh-CN"/>
        </w:rPr>
        <w:t xml:space="preserve"> Case 1 and Case 2, </w:t>
      </w:r>
      <w:r w:rsidR="00796FC9">
        <w:rPr>
          <w:rFonts w:eastAsia="宋体"/>
          <w:lang w:val="x-none" w:eastAsia="zh-CN"/>
        </w:rPr>
        <w:t xml:space="preserve">it should be independently defined for these two cases. </w:t>
      </w:r>
      <w:r w:rsidR="00190465">
        <w:rPr>
          <w:rFonts w:eastAsia="宋体"/>
          <w:lang w:val="x-none" w:eastAsia="zh-CN"/>
        </w:rPr>
        <w:t xml:space="preserve">After receiving the TCI state activation, a UE </w:t>
      </w:r>
      <w:r w:rsidR="00DF7217">
        <w:rPr>
          <w:rFonts w:eastAsia="宋体"/>
          <w:lang w:val="x-none" w:eastAsia="zh-CN"/>
        </w:rPr>
        <w:t xml:space="preserve">needs some “preparation” time to be able to </w:t>
      </w:r>
      <w:r w:rsidR="00C36213">
        <w:rPr>
          <w:rFonts w:eastAsia="宋体"/>
          <w:lang w:val="x-none" w:eastAsia="zh-CN"/>
        </w:rPr>
        <w:t xml:space="preserve">actually </w:t>
      </w:r>
      <w:r w:rsidR="00DF7217">
        <w:rPr>
          <w:rFonts w:eastAsia="宋体"/>
          <w:lang w:val="x-none" w:eastAsia="zh-CN"/>
        </w:rPr>
        <w:t xml:space="preserve">apply an activated TCI state. </w:t>
      </w:r>
      <w:r w:rsidR="00C53781">
        <w:rPr>
          <w:rFonts w:eastAsia="宋体"/>
          <w:lang w:val="x-none" w:eastAsia="zh-CN"/>
        </w:rPr>
        <w:t>According to Clause 8.15 of TS 38.133</w:t>
      </w:r>
      <w:r w:rsidR="00EA6812">
        <w:rPr>
          <w:rFonts w:eastAsia="宋体"/>
          <w:lang w:val="x-none" w:eastAsia="zh-CN"/>
        </w:rPr>
        <w:t xml:space="preserve">, </w:t>
      </w:r>
      <w:r w:rsidR="00B446F8">
        <w:rPr>
          <w:rFonts w:eastAsia="宋体"/>
          <w:lang w:val="x-none" w:eastAsia="zh-CN"/>
        </w:rPr>
        <w:t xml:space="preserve">when the activated TCI state is not </w:t>
      </w:r>
      <w:r w:rsidR="006F7BF3">
        <w:rPr>
          <w:rFonts w:eastAsia="宋体"/>
          <w:lang w:val="x-none" w:eastAsia="zh-CN"/>
        </w:rPr>
        <w:t>in the active TCI state list</w:t>
      </w:r>
      <w:r w:rsidR="00B446F8">
        <w:rPr>
          <w:rFonts w:eastAsia="宋体"/>
          <w:lang w:val="x-none" w:eastAsia="zh-CN"/>
        </w:rPr>
        <w:t xml:space="preserve">, </w:t>
      </w:r>
      <w:r w:rsidR="00DF7217">
        <w:rPr>
          <w:rFonts w:eastAsia="宋体"/>
          <w:lang w:val="x-none" w:eastAsia="zh-CN"/>
        </w:rPr>
        <w:t xml:space="preserve">the UE </w:t>
      </w:r>
      <w:r w:rsidR="001E2257">
        <w:rPr>
          <w:rFonts w:eastAsia="宋体"/>
          <w:lang w:val="x-none" w:eastAsia="zh-CN"/>
        </w:rPr>
        <w:t xml:space="preserve">is required to </w:t>
      </w:r>
      <w:r w:rsidR="009C2365">
        <w:rPr>
          <w:rFonts w:eastAsia="宋体"/>
          <w:lang w:val="x-none" w:eastAsia="zh-CN"/>
        </w:rPr>
        <w:t xml:space="preserve">measure </w:t>
      </w:r>
      <w:r w:rsidR="00DF7217">
        <w:rPr>
          <w:rFonts w:eastAsia="宋体"/>
          <w:lang w:val="x-none" w:eastAsia="zh-CN"/>
        </w:rPr>
        <w:t>the SSB associated with the activated TCI state</w:t>
      </w:r>
      <w:r w:rsidR="00EA6812" w:rsidRPr="00EA6812">
        <w:rPr>
          <w:rFonts w:eastAsia="宋体"/>
          <w:lang w:val="x-none" w:eastAsia="zh-CN"/>
        </w:rPr>
        <w:t xml:space="preserve"> </w:t>
      </w:r>
      <w:r w:rsidR="00EA6812">
        <w:rPr>
          <w:rFonts w:eastAsia="宋体" w:hint="eastAsia"/>
          <w:lang w:val="x-none" w:eastAsia="zh-CN"/>
        </w:rPr>
        <w:t>d</w:t>
      </w:r>
      <w:r w:rsidR="00EA6812">
        <w:rPr>
          <w:rFonts w:eastAsia="宋体"/>
          <w:lang w:val="x-none" w:eastAsia="zh-CN"/>
        </w:rPr>
        <w:t>uring the preparation time</w:t>
      </w:r>
      <w:r w:rsidR="00DF7217">
        <w:rPr>
          <w:rFonts w:eastAsia="宋体"/>
          <w:lang w:val="x-none" w:eastAsia="zh-CN"/>
        </w:rPr>
        <w:t xml:space="preserve">. </w:t>
      </w:r>
      <w:r w:rsidR="001E2257">
        <w:rPr>
          <w:rFonts w:eastAsia="宋体"/>
          <w:lang w:val="x-none" w:eastAsia="zh-CN"/>
        </w:rPr>
        <w:t>When</w:t>
      </w:r>
      <w:r w:rsidR="007111EA">
        <w:rPr>
          <w:rFonts w:eastAsia="宋体"/>
          <w:lang w:val="x-none" w:eastAsia="zh-CN"/>
        </w:rPr>
        <w:t xml:space="preserve"> receiving the TCI state activation before the cell switch command</w:t>
      </w:r>
      <w:r w:rsidR="001E2257">
        <w:rPr>
          <w:rFonts w:eastAsia="宋体"/>
          <w:lang w:val="x-none" w:eastAsia="zh-CN"/>
        </w:rPr>
        <w:t xml:space="preserve"> (</w:t>
      </w:r>
      <w:r w:rsidR="00C36213">
        <w:rPr>
          <w:rFonts w:eastAsia="宋体"/>
          <w:lang w:val="x-none" w:eastAsia="zh-CN"/>
        </w:rPr>
        <w:t xml:space="preserve">i.e., in </w:t>
      </w:r>
      <w:r w:rsidR="001E2257">
        <w:rPr>
          <w:rFonts w:eastAsia="宋体"/>
          <w:lang w:val="x-none" w:eastAsia="zh-CN"/>
        </w:rPr>
        <w:t>Case 2)</w:t>
      </w:r>
      <w:r w:rsidR="007111EA">
        <w:rPr>
          <w:rFonts w:eastAsia="宋体"/>
          <w:lang w:val="x-none" w:eastAsia="zh-CN"/>
        </w:rPr>
        <w:t xml:space="preserve">, the UE can </w:t>
      </w:r>
      <w:r w:rsidR="00C36213">
        <w:rPr>
          <w:rFonts w:eastAsia="宋体"/>
          <w:lang w:val="x-none" w:eastAsia="zh-CN"/>
        </w:rPr>
        <w:t>finish</w:t>
      </w:r>
      <w:r w:rsidR="007111EA">
        <w:rPr>
          <w:rFonts w:eastAsia="宋体"/>
          <w:lang w:val="x-none" w:eastAsia="zh-CN"/>
        </w:rPr>
        <w:t xml:space="preserve"> the preparation before the cell switch command.</w:t>
      </w:r>
      <w:r w:rsidR="001E2257">
        <w:rPr>
          <w:rFonts w:eastAsia="宋体"/>
          <w:lang w:val="x-none" w:eastAsia="zh-CN"/>
        </w:rPr>
        <w:t xml:space="preserve"> </w:t>
      </w:r>
      <w:r w:rsidR="00C36213">
        <w:rPr>
          <w:rFonts w:eastAsia="宋体"/>
          <w:lang w:val="x-none" w:eastAsia="zh-CN"/>
        </w:rPr>
        <w:t>In this case</w:t>
      </w:r>
      <w:r w:rsidR="001E2257">
        <w:rPr>
          <w:rFonts w:eastAsia="宋体"/>
          <w:lang w:val="x-none" w:eastAsia="zh-CN"/>
        </w:rPr>
        <w:t>, the beam application time</w:t>
      </w:r>
      <w:r w:rsidR="00C36213">
        <w:rPr>
          <w:rFonts w:eastAsia="宋体"/>
          <w:lang w:val="x-none" w:eastAsia="zh-CN"/>
        </w:rPr>
        <w:t xml:space="preserve"> does not </w:t>
      </w:r>
      <w:r w:rsidR="001F4E34">
        <w:rPr>
          <w:rFonts w:eastAsia="宋体"/>
          <w:lang w:val="x-none" w:eastAsia="zh-CN"/>
        </w:rPr>
        <w:t xml:space="preserve">need to </w:t>
      </w:r>
      <w:r w:rsidR="00C36213">
        <w:rPr>
          <w:rFonts w:eastAsia="宋体"/>
          <w:lang w:val="x-none" w:eastAsia="zh-CN"/>
        </w:rPr>
        <w:t>include the preparation time.</w:t>
      </w:r>
      <w:r w:rsidR="007111EA">
        <w:rPr>
          <w:rFonts w:eastAsia="宋体"/>
          <w:lang w:val="x-none" w:eastAsia="zh-CN"/>
        </w:rPr>
        <w:t xml:space="preserve"> </w:t>
      </w:r>
      <w:r w:rsidR="00C36213">
        <w:rPr>
          <w:rFonts w:eastAsia="宋体"/>
          <w:lang w:val="x-none" w:eastAsia="zh-CN"/>
        </w:rPr>
        <w:t>When</w:t>
      </w:r>
      <w:r w:rsidR="007111EA">
        <w:rPr>
          <w:rFonts w:eastAsia="宋体"/>
          <w:lang w:val="x-none" w:eastAsia="zh-CN"/>
        </w:rPr>
        <w:t xml:space="preserve"> receiving the TCI state activation together with the cell switch command</w:t>
      </w:r>
      <w:r w:rsidR="00C36213">
        <w:rPr>
          <w:rFonts w:eastAsia="宋体"/>
          <w:lang w:val="x-none" w:eastAsia="zh-CN"/>
        </w:rPr>
        <w:t xml:space="preserve"> (i.e., in Case 1)</w:t>
      </w:r>
      <w:r w:rsidR="007111EA">
        <w:rPr>
          <w:rFonts w:eastAsia="宋体"/>
          <w:lang w:val="x-none" w:eastAsia="zh-CN"/>
        </w:rPr>
        <w:t xml:space="preserve">, the UE needs to do the preparation after the cell switch command. </w:t>
      </w:r>
      <w:r w:rsidR="00C36213">
        <w:rPr>
          <w:rFonts w:eastAsia="宋体"/>
          <w:lang w:val="x-none" w:eastAsia="zh-CN"/>
        </w:rPr>
        <w:t>I</w:t>
      </w:r>
      <w:r w:rsidR="001F4E34">
        <w:rPr>
          <w:rFonts w:eastAsia="宋体"/>
          <w:lang w:val="x-none" w:eastAsia="zh-CN"/>
        </w:rPr>
        <w:t xml:space="preserve">f </w:t>
      </w:r>
      <w:r w:rsidR="00C36213">
        <w:rPr>
          <w:rFonts w:eastAsia="宋体"/>
          <w:lang w:val="x-none" w:eastAsia="zh-CN"/>
        </w:rPr>
        <w:t xml:space="preserve">the beam application time </w:t>
      </w:r>
      <w:r w:rsidR="001F4E34">
        <w:rPr>
          <w:rFonts w:eastAsia="宋体"/>
          <w:lang w:val="x-none" w:eastAsia="zh-CN"/>
        </w:rPr>
        <w:t xml:space="preserve">is defined for this case, it needs to </w:t>
      </w:r>
      <w:r w:rsidR="009D6B38">
        <w:rPr>
          <w:rFonts w:eastAsia="宋体"/>
          <w:lang w:val="x-none" w:eastAsia="zh-CN"/>
        </w:rPr>
        <w:t xml:space="preserve">also </w:t>
      </w:r>
      <w:r w:rsidR="001F4E34">
        <w:rPr>
          <w:rFonts w:eastAsia="宋体"/>
          <w:lang w:val="x-none" w:eastAsia="zh-CN"/>
        </w:rPr>
        <w:t xml:space="preserve">include the preparation time. </w:t>
      </w:r>
      <w:r w:rsidR="00C95DF5">
        <w:rPr>
          <w:rFonts w:eastAsia="宋体"/>
          <w:lang w:val="x-none" w:eastAsia="zh-CN"/>
        </w:rPr>
        <w:t>Therefore, the beam application time will be different for Case 1 and Case 2. Based on this, the beam application time should be separately defined for these two cases.</w:t>
      </w:r>
    </w:p>
    <w:p w14:paraId="5A913DA4" w14:textId="574E63B1" w:rsidR="000F65CE" w:rsidRPr="000E64AE" w:rsidRDefault="000F65CE" w:rsidP="000E64AE">
      <w:pPr>
        <w:rPr>
          <w:b/>
          <w:bCs/>
          <w:u w:val="single"/>
          <w:lang w:val="x-none"/>
        </w:rPr>
      </w:pPr>
      <w:r w:rsidRPr="000E64AE">
        <w:rPr>
          <w:b/>
          <w:bCs/>
          <w:u w:val="single"/>
          <w:lang w:val="x-none"/>
        </w:rPr>
        <w:t xml:space="preserve">Proposal </w:t>
      </w:r>
      <w:r w:rsidR="00BA5D4B">
        <w:rPr>
          <w:b/>
          <w:bCs/>
          <w:u w:val="single"/>
          <w:lang w:val="x-none"/>
        </w:rPr>
        <w:t>8</w:t>
      </w:r>
      <w:r w:rsidRPr="000E64AE">
        <w:rPr>
          <w:b/>
          <w:bCs/>
          <w:u w:val="single"/>
          <w:lang w:val="x-none"/>
        </w:rPr>
        <w:t xml:space="preserve">: </w:t>
      </w:r>
    </w:p>
    <w:p w14:paraId="6CA35266" w14:textId="2F9DC636" w:rsidR="000F65CE" w:rsidRPr="000F65CE" w:rsidRDefault="000F65CE" w:rsidP="000E64AE">
      <w:pPr>
        <w:pStyle w:val="Proposal-Observation"/>
        <w:numPr>
          <w:ilvl w:val="0"/>
          <w:numId w:val="6"/>
        </w:numPr>
        <w:ind w:leftChars="100" w:left="660" w:right="240"/>
      </w:pPr>
      <w:r w:rsidRPr="000F65CE">
        <w:t xml:space="preserve">The beam application time is independent </w:t>
      </w:r>
      <w:r w:rsidR="0012721C">
        <w:t>for the following</w:t>
      </w:r>
      <w:r w:rsidRPr="000F65CE">
        <w:t xml:space="preserve"> </w:t>
      </w:r>
      <w:r>
        <w:t>Case 1 and Case 2</w:t>
      </w:r>
      <w:r w:rsidR="00604C9C">
        <w:t xml:space="preserve"> if the beam application time </w:t>
      </w:r>
      <w:r w:rsidR="00DF1D73">
        <w:t>will be</w:t>
      </w:r>
      <w:r w:rsidR="00604C9C">
        <w:t xml:space="preserve"> defined for both cases</w:t>
      </w:r>
      <w:r>
        <w:t>.</w:t>
      </w:r>
    </w:p>
    <w:p w14:paraId="509D161B" w14:textId="2150FC0F" w:rsidR="000F65CE" w:rsidRPr="000E64AE" w:rsidRDefault="000F65CE" w:rsidP="000E64AE">
      <w:pPr>
        <w:pStyle w:val="Proposal-Observation"/>
        <w:numPr>
          <w:ilvl w:val="1"/>
          <w:numId w:val="6"/>
        </w:numPr>
        <w:ind w:right="240"/>
        <w:rPr>
          <w:rFonts w:eastAsia="宋体"/>
        </w:rPr>
      </w:pPr>
      <w:r>
        <w:rPr>
          <w:rFonts w:eastAsia="宋体"/>
        </w:rPr>
        <w:t xml:space="preserve">Case 1: </w:t>
      </w:r>
      <w:r w:rsidRPr="000E64AE">
        <w:rPr>
          <w:rFonts w:eastAsia="宋体"/>
        </w:rPr>
        <w:t>TCI state activation is performed together with TCI state indication</w:t>
      </w:r>
    </w:p>
    <w:p w14:paraId="3E3E21B5" w14:textId="000D585A" w:rsidR="000F65CE" w:rsidRPr="000E64AE" w:rsidRDefault="000F65CE" w:rsidP="000E64AE">
      <w:pPr>
        <w:pStyle w:val="Proposal-Observation"/>
        <w:numPr>
          <w:ilvl w:val="1"/>
          <w:numId w:val="6"/>
        </w:numPr>
        <w:ind w:right="240"/>
        <w:rPr>
          <w:rFonts w:eastAsia="宋体"/>
        </w:rPr>
      </w:pPr>
      <w:r>
        <w:rPr>
          <w:rFonts w:eastAsia="宋体"/>
        </w:rPr>
        <w:t xml:space="preserve">Case 2: </w:t>
      </w:r>
      <w:r w:rsidRPr="000E64AE">
        <w:rPr>
          <w:rFonts w:eastAsia="宋体"/>
        </w:rPr>
        <w:t>TCI state activation is performed prior to TCI state indication</w:t>
      </w:r>
    </w:p>
    <w:p w14:paraId="028B0967" w14:textId="77777777" w:rsidR="000F65CE" w:rsidRPr="00C25E82" w:rsidRDefault="000F65CE" w:rsidP="00E33BEA">
      <w:pPr>
        <w:rPr>
          <w:lang w:val="en-US"/>
        </w:rPr>
      </w:pPr>
    </w:p>
    <w:p w14:paraId="1F2F8231" w14:textId="42E92607" w:rsidR="00226000" w:rsidRDefault="00226000" w:rsidP="00E33BEA">
      <w:pPr>
        <w:rPr>
          <w:lang w:val="x-none"/>
        </w:rPr>
      </w:pPr>
      <w:r>
        <w:rPr>
          <w:rFonts w:eastAsia="宋体"/>
          <w:lang w:val="x-none" w:eastAsia="zh-CN"/>
        </w:rPr>
        <w:t>In the RAN1#</w:t>
      </w:r>
      <w:r w:rsidR="00656520">
        <w:rPr>
          <w:rFonts w:eastAsia="宋体"/>
          <w:lang w:val="x-none" w:eastAsia="zh-CN"/>
        </w:rPr>
        <w:t xml:space="preserve">113 </w:t>
      </w:r>
      <w:r>
        <w:rPr>
          <w:rFonts w:eastAsia="宋体"/>
          <w:lang w:val="x-none" w:eastAsia="zh-CN"/>
        </w:rPr>
        <w:t xml:space="preserve">meeting, </w:t>
      </w:r>
      <w:r w:rsidR="00DA7277">
        <w:rPr>
          <w:rFonts w:eastAsia="宋体"/>
          <w:lang w:val="x-none" w:eastAsia="zh-CN"/>
        </w:rPr>
        <w:t xml:space="preserve">the following </w:t>
      </w:r>
      <w:r w:rsidR="0022034C">
        <w:rPr>
          <w:rFonts w:eastAsia="宋体"/>
          <w:lang w:val="x-none" w:eastAsia="zh-CN"/>
        </w:rPr>
        <w:t xml:space="preserve">proposal </w:t>
      </w:r>
      <w:r w:rsidR="00DA7277">
        <w:rPr>
          <w:rFonts w:eastAsia="宋体"/>
          <w:lang w:val="x-none" w:eastAsia="zh-CN"/>
        </w:rPr>
        <w:t xml:space="preserve">has been </w:t>
      </w:r>
      <w:r w:rsidR="0022034C">
        <w:rPr>
          <w:rFonts w:eastAsia="宋体"/>
          <w:lang w:val="x-none" w:eastAsia="zh-CN"/>
        </w:rPr>
        <w:t>discussed but not agreed</w:t>
      </w:r>
      <w:r w:rsidR="00FC608B">
        <w:rPr>
          <w:rFonts w:eastAsia="宋体"/>
          <w:lang w:val="x-none" w:eastAsia="zh-CN"/>
        </w:rPr>
        <w:t xml:space="preserve"> [</w:t>
      </w:r>
      <w:r w:rsidR="009712A7">
        <w:rPr>
          <w:rFonts w:eastAsia="宋体"/>
          <w:lang w:val="x-none" w:eastAsia="zh-CN"/>
        </w:rPr>
        <w:t>3</w:t>
      </w:r>
      <w:r w:rsidR="00FC608B">
        <w:rPr>
          <w:rFonts w:eastAsia="宋体"/>
          <w:lang w:val="x-none" w:eastAsia="zh-CN"/>
        </w:rPr>
        <w:t>]</w:t>
      </w:r>
      <w:r w:rsidR="00DA7277">
        <w:rPr>
          <w:rFonts w:eastAsia="宋体"/>
          <w:lang w:val="x-none" w:eastAsia="zh-CN"/>
        </w:rPr>
        <w:t>.</w:t>
      </w:r>
    </w:p>
    <w:tbl>
      <w:tblPr>
        <w:tblStyle w:val="af1"/>
        <w:tblW w:w="0" w:type="auto"/>
        <w:jc w:val="center"/>
        <w:tblLook w:val="04A0" w:firstRow="1" w:lastRow="0" w:firstColumn="1" w:lastColumn="0" w:noHBand="0" w:noVBand="1"/>
      </w:tblPr>
      <w:tblGrid>
        <w:gridCol w:w="9962"/>
      </w:tblGrid>
      <w:tr w:rsidR="00F441AE" w:rsidRPr="00980D20" w14:paraId="719221C0" w14:textId="77777777" w:rsidTr="00C25E82">
        <w:trPr>
          <w:trHeight w:val="1539"/>
          <w:jc w:val="center"/>
        </w:trPr>
        <w:tc>
          <w:tcPr>
            <w:tcW w:w="9962" w:type="dxa"/>
          </w:tcPr>
          <w:p w14:paraId="1B4467BF" w14:textId="5F56C945" w:rsidR="0022034C" w:rsidRPr="00894E40" w:rsidRDefault="0022034C" w:rsidP="00894E40">
            <w:pPr>
              <w:pStyle w:val="5"/>
              <w:spacing w:afterLines="10" w:after="36"/>
              <w:ind w:leftChars="0" w:left="0"/>
              <w:rPr>
                <w:rFonts w:ascii="Times New Roman" w:eastAsia="MS Gothic" w:hAnsi="Times New Roman" w:cs="Times New Roman"/>
                <w:b/>
                <w:bCs/>
                <w:color w:val="000000" w:themeColor="text1"/>
                <w:sz w:val="24"/>
                <w:szCs w:val="20"/>
                <w:lang w:eastAsia="ja-JP"/>
              </w:rPr>
            </w:pPr>
            <w:r w:rsidRPr="00894E40">
              <w:rPr>
                <w:rFonts w:ascii="Times New Roman" w:eastAsia="MS Gothic" w:hAnsi="Times New Roman" w:cs="Times New Roman"/>
                <w:b/>
                <w:bCs/>
                <w:color w:val="000000" w:themeColor="text1"/>
                <w:sz w:val="24"/>
                <w:szCs w:val="20"/>
                <w:lang w:eastAsia="ja-JP"/>
              </w:rPr>
              <w:lastRenderedPageBreak/>
              <w:t>[FL Proposal 5-3-1-v</w:t>
            </w:r>
            <w:r w:rsidR="00656520">
              <w:rPr>
                <w:rFonts w:ascii="Times New Roman" w:eastAsia="MS Gothic" w:hAnsi="Times New Roman" w:cs="Times New Roman"/>
                <w:b/>
                <w:bCs/>
                <w:color w:val="000000" w:themeColor="text1"/>
                <w:sz w:val="24"/>
                <w:szCs w:val="20"/>
                <w:lang w:eastAsia="ja-JP"/>
              </w:rPr>
              <w:t>1</w:t>
            </w:r>
            <w:r w:rsidRPr="00894E40">
              <w:rPr>
                <w:rFonts w:ascii="Times New Roman" w:eastAsia="MS Gothic" w:hAnsi="Times New Roman" w:cs="Times New Roman"/>
                <w:b/>
                <w:bCs/>
                <w:color w:val="000000" w:themeColor="text1"/>
                <w:sz w:val="24"/>
                <w:szCs w:val="20"/>
                <w:lang w:eastAsia="ja-JP"/>
              </w:rPr>
              <w:t>]</w:t>
            </w:r>
          </w:p>
          <w:p w14:paraId="2A4CBA91" w14:textId="1F743B87" w:rsidR="0022034C" w:rsidRDefault="0022034C" w:rsidP="0022034C">
            <w:pPr>
              <w:pStyle w:val="a"/>
              <w:numPr>
                <w:ilvl w:val="0"/>
                <w:numId w:val="12"/>
              </w:numPr>
              <w:rPr>
                <w:color w:val="000000" w:themeColor="text1"/>
              </w:rPr>
            </w:pPr>
            <w:r>
              <w:rPr>
                <w:color w:val="000000" w:themeColor="text1"/>
              </w:rPr>
              <w:t xml:space="preserve">For beam indication of target cell based on Rel-17 unified TCI framework applied to </w:t>
            </w:r>
            <w:r>
              <w:rPr>
                <w:rFonts w:hint="eastAsia"/>
                <w:color w:val="000000" w:themeColor="text1"/>
                <w:lang w:val="en-US"/>
              </w:rPr>
              <w:t>C</w:t>
            </w:r>
            <w:r>
              <w:rPr>
                <w:color w:val="000000" w:themeColor="text1"/>
                <w:lang w:val="en-US"/>
              </w:rPr>
              <w:t xml:space="preserve">ORESET#0 and </w:t>
            </w:r>
            <w:r>
              <w:rPr>
                <w:rFonts w:eastAsia="宋体"/>
                <w:color w:val="000000" w:themeColor="text1"/>
                <w:lang w:eastAsia="zh-CN"/>
              </w:rPr>
              <w:t>CORESET</w:t>
            </w:r>
            <w:r>
              <w:rPr>
                <w:rFonts w:eastAsia="宋体" w:hint="eastAsia"/>
                <w:color w:val="000000" w:themeColor="text1"/>
                <w:lang w:eastAsia="zh-CN"/>
              </w:rPr>
              <w:t>s</w:t>
            </w:r>
            <w:r>
              <w:rPr>
                <w:rFonts w:eastAsia="宋体"/>
                <w:color w:val="000000" w:themeColor="text1"/>
                <w:lang w:eastAsia="zh-CN"/>
              </w:rPr>
              <w:t xml:space="preserve"> (other than CORESET#0) associated with </w:t>
            </w:r>
            <w:r>
              <w:rPr>
                <w:rFonts w:hint="eastAsia"/>
                <w:color w:val="000000" w:themeColor="text1"/>
              </w:rPr>
              <w:t>Type 0A/1/2-PDCCH CSS sets</w:t>
            </w:r>
            <w:r>
              <w:rPr>
                <w:color w:val="000000" w:themeColor="text1"/>
              </w:rPr>
              <w:t xml:space="preserve"> where no TCI state activation is provided, </w:t>
            </w:r>
            <w:proofErr w:type="spellStart"/>
            <w:r>
              <w:rPr>
                <w:rFonts w:eastAsia="宋体" w:hint="eastAsia"/>
                <w:color w:val="000000" w:themeColor="text1"/>
                <w:lang w:val="en-US" w:eastAsia="zh-CN"/>
              </w:rPr>
              <w:t>followUnifiedTCI</w:t>
            </w:r>
            <w:proofErr w:type="spellEnd"/>
            <w:r>
              <w:rPr>
                <w:rFonts w:eastAsia="宋体"/>
                <w:color w:val="000000" w:themeColor="text1"/>
                <w:lang w:val="en-US" w:eastAsia="zh-CN"/>
              </w:rPr>
              <w:t>-</w:t>
            </w:r>
            <w:r>
              <w:rPr>
                <w:rFonts w:eastAsia="宋体" w:hint="eastAsia"/>
                <w:color w:val="000000" w:themeColor="text1"/>
                <w:lang w:val="en-US" w:eastAsia="zh-CN"/>
              </w:rPr>
              <w:t>state</w:t>
            </w:r>
            <w:r>
              <w:rPr>
                <w:rFonts w:eastAsia="宋体"/>
                <w:color w:val="000000" w:themeColor="text1"/>
                <w:lang w:val="en-US" w:eastAsia="zh-CN"/>
              </w:rPr>
              <w:t xml:space="preserve"> is not enabled or not provided</w:t>
            </w:r>
            <w:r>
              <w:rPr>
                <w:color w:val="000000" w:themeColor="text1"/>
              </w:rPr>
              <w:t>.</w:t>
            </w:r>
            <w:r>
              <w:rPr>
                <w:i/>
                <w:iCs/>
                <w:color w:val="000000" w:themeColor="text1"/>
              </w:rPr>
              <w:t xml:space="preserve"> </w:t>
            </w:r>
          </w:p>
          <w:p w14:paraId="5C9E1EA5" w14:textId="77777777" w:rsidR="0022034C" w:rsidRDefault="0022034C" w:rsidP="0022034C">
            <w:pPr>
              <w:pStyle w:val="a"/>
              <w:numPr>
                <w:ilvl w:val="1"/>
                <w:numId w:val="12"/>
              </w:numPr>
              <w:rPr>
                <w:color w:val="000000" w:themeColor="text1"/>
                <w:lang w:val="en-US"/>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p>
          <w:p w14:paraId="4E737F97" w14:textId="2903C26F" w:rsidR="006E700D" w:rsidRPr="00953749" w:rsidRDefault="0022034C" w:rsidP="00894E40">
            <w:pPr>
              <w:pStyle w:val="a"/>
              <w:numPr>
                <w:ilvl w:val="1"/>
                <w:numId w:val="12"/>
              </w:numPr>
              <w:spacing w:afterLines="50" w:after="180" w:afterAutospacing="0"/>
            </w:pPr>
            <w:r>
              <w:rPr>
                <w:color w:val="000000" w:themeColor="text1"/>
              </w:rPr>
              <w:t>Alt.4: No new behaviour is introduced on top of Rel-17 unified TCI</w:t>
            </w:r>
          </w:p>
        </w:tc>
      </w:tr>
    </w:tbl>
    <w:p w14:paraId="283063DA" w14:textId="30DBEEC8" w:rsidR="00571E06" w:rsidRPr="00571E06" w:rsidRDefault="00AD421A" w:rsidP="00C25E82">
      <w:pPr>
        <w:spacing w:beforeLines="50" w:before="180"/>
        <w:rPr>
          <w:lang w:val="x-none"/>
        </w:rPr>
      </w:pPr>
      <w:r>
        <w:rPr>
          <w:rFonts w:eastAsia="宋体"/>
          <w:lang w:val="x-none" w:eastAsia="zh-CN"/>
        </w:rPr>
        <w:t>Generally, t</w:t>
      </w:r>
      <w:r w:rsidR="00557BE5">
        <w:rPr>
          <w:rFonts w:eastAsia="宋体"/>
          <w:lang w:val="x-none" w:eastAsia="zh-CN"/>
        </w:rPr>
        <w:t xml:space="preserve">he </w:t>
      </w:r>
      <w:r>
        <w:rPr>
          <w:rFonts w:eastAsia="宋体"/>
          <w:lang w:val="x-none" w:eastAsia="zh-CN"/>
        </w:rPr>
        <w:t>proposal is to address the issue on how to determine the beam for a CORESET which does not follow Rel-17 unified TCI and has no activated TCI state.</w:t>
      </w:r>
      <w:r w:rsidR="00FD0E3E">
        <w:rPr>
          <w:rFonts w:eastAsia="宋体"/>
          <w:lang w:val="x-none" w:eastAsia="zh-CN"/>
        </w:rPr>
        <w:t xml:space="preserve"> For Alt.1, even though the CORESET is not </w:t>
      </w:r>
      <w:r w:rsidR="00FD0E3E">
        <w:t xml:space="preserve">configured with </w:t>
      </w:r>
      <w:proofErr w:type="spellStart"/>
      <w:r w:rsidR="00FD0E3E" w:rsidRPr="00B12064">
        <w:rPr>
          <w:i/>
          <w:lang w:val="en-US" w:eastAsia="zh-CN"/>
        </w:rPr>
        <w:t>followUnifiedTCIstate</w:t>
      </w:r>
      <w:proofErr w:type="spellEnd"/>
      <w:r w:rsidR="00FD0E3E">
        <w:rPr>
          <w:rFonts w:eastAsia="宋体"/>
          <w:lang w:val="x-none" w:eastAsia="zh-CN"/>
        </w:rPr>
        <w:t xml:space="preserve">, it </w:t>
      </w:r>
      <w:r w:rsidR="0034332D">
        <w:rPr>
          <w:rFonts w:eastAsia="宋体"/>
          <w:lang w:val="x-none" w:eastAsia="zh-CN"/>
        </w:rPr>
        <w:t xml:space="preserve">can still </w:t>
      </w:r>
      <w:r w:rsidR="00FD0E3E">
        <w:rPr>
          <w:rFonts w:eastAsia="宋体"/>
          <w:lang w:val="x-none" w:eastAsia="zh-CN"/>
        </w:rPr>
        <w:t>follow the unified TCI state before any TCI state is activated</w:t>
      </w:r>
      <w:r w:rsidR="007D491D">
        <w:rPr>
          <w:rFonts w:eastAsia="宋体"/>
          <w:lang w:val="x-none" w:eastAsia="zh-CN"/>
        </w:rPr>
        <w:t xml:space="preserve"> for it</w:t>
      </w:r>
      <w:r w:rsidR="00FD0E3E">
        <w:rPr>
          <w:rFonts w:eastAsia="宋体"/>
          <w:lang w:val="x-none" w:eastAsia="zh-CN"/>
        </w:rPr>
        <w:t>. If only the SSB based measurement and the SSB based report are supported, it means that a target cell can only use the beam used by the SSB transmission. Since the beam applied to an SSB is generally a wide beam, UE-dedicated beam and non-UE-dedicated beam may have no difference. Therefore, basically all the signals and channels can just follow the indicated unified TCI state. For Alt.4, the intention</w:t>
      </w:r>
      <w:r w:rsidR="007D491D">
        <w:rPr>
          <w:rFonts w:eastAsia="宋体"/>
          <w:lang w:val="x-none" w:eastAsia="zh-CN"/>
        </w:rPr>
        <w:t xml:space="preserve"> during the discussion</w:t>
      </w:r>
      <w:r w:rsidR="00FD0E3E">
        <w:rPr>
          <w:rFonts w:eastAsia="宋体"/>
          <w:lang w:val="x-none" w:eastAsia="zh-CN"/>
        </w:rPr>
        <w:t xml:space="preserve"> is to not use the CORESET which is not </w:t>
      </w:r>
      <w:r w:rsidR="00FD0E3E">
        <w:t xml:space="preserve">configured with </w:t>
      </w:r>
      <w:proofErr w:type="spellStart"/>
      <w:r w:rsidR="00FD0E3E" w:rsidRPr="00B12064">
        <w:rPr>
          <w:i/>
          <w:lang w:val="en-US" w:eastAsia="zh-CN"/>
        </w:rPr>
        <w:t>followUnifiedTCIstate</w:t>
      </w:r>
      <w:proofErr w:type="spellEnd"/>
      <w:r w:rsidR="0012489E">
        <w:rPr>
          <w:i/>
          <w:lang w:val="en-US" w:eastAsia="zh-CN"/>
        </w:rPr>
        <w:t xml:space="preserve"> </w:t>
      </w:r>
      <w:r w:rsidR="007D491D">
        <w:rPr>
          <w:rFonts w:eastAsia="宋体"/>
          <w:lang w:val="x-none" w:eastAsia="zh-CN"/>
        </w:rPr>
        <w:t>before</w:t>
      </w:r>
      <w:r w:rsidR="0012489E">
        <w:rPr>
          <w:rFonts w:eastAsia="宋体"/>
          <w:lang w:val="x-none" w:eastAsia="zh-CN"/>
        </w:rPr>
        <w:t xml:space="preserve"> any TCI state is activated</w:t>
      </w:r>
      <w:r w:rsidR="007D491D">
        <w:rPr>
          <w:rFonts w:eastAsia="宋体"/>
          <w:lang w:val="x-none" w:eastAsia="zh-CN"/>
        </w:rPr>
        <w:t xml:space="preserve"> for it</w:t>
      </w:r>
      <w:r w:rsidR="0012489E">
        <w:rPr>
          <w:rFonts w:eastAsia="宋体"/>
          <w:lang w:val="x-none" w:eastAsia="zh-CN"/>
        </w:rPr>
        <w:t>.</w:t>
      </w:r>
      <w:r w:rsidR="00F76D83">
        <w:rPr>
          <w:rFonts w:eastAsia="宋体"/>
          <w:lang w:val="x-none" w:eastAsia="zh-CN"/>
        </w:rPr>
        <w:t xml:space="preserve"> If going with Alt.4, the exact intention should be captured</w:t>
      </w:r>
      <w:r w:rsidR="003120E1">
        <w:rPr>
          <w:rFonts w:eastAsia="宋体"/>
          <w:lang w:val="x-none" w:eastAsia="zh-CN"/>
        </w:rPr>
        <w:t xml:space="preserve"> to avoid any ambiguity</w:t>
      </w:r>
      <w:r w:rsidR="00F76D83">
        <w:rPr>
          <w:rFonts w:eastAsia="宋体"/>
          <w:lang w:val="x-none" w:eastAsia="zh-CN"/>
        </w:rPr>
        <w:t xml:space="preserve">. </w:t>
      </w:r>
      <w:r w:rsidR="00A930BB">
        <w:rPr>
          <w:rFonts w:eastAsia="宋体"/>
          <w:lang w:val="x-none" w:eastAsia="zh-CN"/>
        </w:rPr>
        <w:t>Otherwise</w:t>
      </w:r>
      <w:r w:rsidR="003120E1">
        <w:rPr>
          <w:rFonts w:eastAsia="宋体"/>
          <w:lang w:val="x-none" w:eastAsia="zh-CN"/>
        </w:rPr>
        <w:t xml:space="preserve">, the </w:t>
      </w:r>
      <w:r w:rsidR="00A930BB">
        <w:rPr>
          <w:rFonts w:eastAsia="宋体"/>
          <w:lang w:val="x-none" w:eastAsia="zh-CN"/>
        </w:rPr>
        <w:t xml:space="preserve">current </w:t>
      </w:r>
      <w:r w:rsidR="003120E1">
        <w:rPr>
          <w:rFonts w:eastAsia="宋体"/>
          <w:lang w:val="x-none" w:eastAsia="zh-CN"/>
        </w:rPr>
        <w:t xml:space="preserve">wording </w:t>
      </w:r>
      <w:r w:rsidR="00F24862">
        <w:rPr>
          <w:rFonts w:eastAsia="宋体"/>
          <w:lang w:val="x-none" w:eastAsia="zh-CN"/>
        </w:rPr>
        <w:t xml:space="preserve">implies following the legacy behavior. However, the legacy behavior also includes following the SSB during random access if </w:t>
      </w:r>
      <w:r w:rsidR="00F24862">
        <w:t>no TCI state has been activated or a CORESET</w:t>
      </w:r>
      <w:r w:rsidR="00F24862">
        <w:rPr>
          <w:rFonts w:eastAsia="宋体"/>
          <w:lang w:val="x-none" w:eastAsia="zh-CN"/>
        </w:rPr>
        <w:t>.</w:t>
      </w:r>
      <w:r w:rsidR="004501C4">
        <w:rPr>
          <w:rFonts w:eastAsia="宋体"/>
          <w:lang w:val="x-none" w:eastAsia="zh-CN"/>
        </w:rPr>
        <w:t xml:space="preserve"> Since the random access procedure is not performed in Rel-18 LTM, this legacy behavior does not work.</w:t>
      </w:r>
    </w:p>
    <w:p w14:paraId="5AE7CCD2" w14:textId="0564AF37" w:rsidR="0095040D" w:rsidRPr="00C8509B" w:rsidRDefault="0095040D" w:rsidP="0095040D">
      <w:pPr>
        <w:rPr>
          <w:b/>
          <w:bCs/>
          <w:u w:val="single"/>
          <w:lang w:val="en-US"/>
        </w:rPr>
      </w:pPr>
      <w:r w:rsidRPr="00C8509B">
        <w:rPr>
          <w:rFonts w:hint="eastAsia"/>
          <w:b/>
          <w:bCs/>
          <w:u w:val="single"/>
          <w:lang w:val="x-none"/>
        </w:rPr>
        <w:t>P</w:t>
      </w:r>
      <w:r w:rsidRPr="00C8509B">
        <w:rPr>
          <w:b/>
          <w:bCs/>
          <w:u w:val="single"/>
          <w:lang w:val="x-none"/>
        </w:rPr>
        <w:t xml:space="preserve">roposal </w:t>
      </w:r>
      <w:r w:rsidR="00BA5D4B">
        <w:rPr>
          <w:b/>
          <w:bCs/>
          <w:u w:val="single"/>
          <w:lang w:val="x-none"/>
        </w:rPr>
        <w:t>9</w:t>
      </w:r>
    </w:p>
    <w:p w14:paraId="51402713" w14:textId="0B911760" w:rsidR="0095040D" w:rsidRDefault="0095040D" w:rsidP="0095040D">
      <w:pPr>
        <w:pStyle w:val="Proposal-Observation"/>
        <w:numPr>
          <w:ilvl w:val="0"/>
          <w:numId w:val="6"/>
        </w:numPr>
        <w:ind w:leftChars="100" w:left="660" w:right="240"/>
      </w:pPr>
      <w:r>
        <w:t xml:space="preserve">For Scenario 2, </w:t>
      </w:r>
      <w:r w:rsidR="00D030D0">
        <w:t xml:space="preserve">to determine the beam </w:t>
      </w:r>
      <w:r w:rsidR="00B12064">
        <w:t>for a CORESET</w:t>
      </w:r>
      <w:r w:rsidR="00150805">
        <w:t xml:space="preserve"> </w:t>
      </w:r>
      <w:r w:rsidR="00AD421A">
        <w:t xml:space="preserve">which does </w:t>
      </w:r>
      <w:r w:rsidR="00B12064">
        <w:t xml:space="preserve">not </w:t>
      </w:r>
      <w:r w:rsidR="00D030D0">
        <w:t>follow Rel-17 unified TCI</w:t>
      </w:r>
      <w:r w:rsidR="001B4E2B">
        <w:t xml:space="preserve"> and</w:t>
      </w:r>
      <w:r w:rsidR="00B12064">
        <w:t xml:space="preserve"> </w:t>
      </w:r>
      <w:r w:rsidR="00AD421A">
        <w:t xml:space="preserve">has </w:t>
      </w:r>
      <w:r w:rsidR="00B12064">
        <w:t xml:space="preserve">no </w:t>
      </w:r>
      <w:r w:rsidR="00AD421A">
        <w:t xml:space="preserve">activated </w:t>
      </w:r>
      <w:r w:rsidR="00B12064">
        <w:t xml:space="preserve">TCI state, </w:t>
      </w:r>
      <w:r w:rsidR="00D030D0">
        <w:t>either Alt.1</w:t>
      </w:r>
      <w:r w:rsidR="00B12064">
        <w:t xml:space="preserve"> </w:t>
      </w:r>
      <w:r w:rsidR="00D030D0">
        <w:t xml:space="preserve">is supported or Alt.4 is supported with the clarification </w:t>
      </w:r>
      <w:r w:rsidR="0092039C">
        <w:t xml:space="preserve">implying </w:t>
      </w:r>
      <w:r w:rsidR="00D030D0">
        <w:t xml:space="preserve">that </w:t>
      </w:r>
      <w:r w:rsidR="00D030D0">
        <w:rPr>
          <w:color w:val="000000" w:themeColor="text1"/>
        </w:rPr>
        <w:t xml:space="preserve">the CORESET </w:t>
      </w:r>
      <w:r w:rsidR="00982104">
        <w:rPr>
          <w:color w:val="000000" w:themeColor="text1"/>
        </w:rPr>
        <w:t xml:space="preserve">not </w:t>
      </w:r>
      <w:r w:rsidR="00D030D0">
        <w:rPr>
          <w:color w:val="000000" w:themeColor="text1"/>
        </w:rPr>
        <w:t>following Rel-17 unified TCI can</w:t>
      </w:r>
      <w:r w:rsidR="00982104">
        <w:rPr>
          <w:color w:val="000000" w:themeColor="text1"/>
        </w:rPr>
        <w:t>not</w:t>
      </w:r>
      <w:r w:rsidR="00D030D0">
        <w:rPr>
          <w:color w:val="000000" w:themeColor="text1"/>
        </w:rPr>
        <w:t xml:space="preserve"> be used</w:t>
      </w:r>
      <w:r w:rsidR="00545EA2">
        <w:rPr>
          <w:color w:val="000000" w:themeColor="text1"/>
        </w:rPr>
        <w:t xml:space="preserve"> until </w:t>
      </w:r>
      <w:r w:rsidR="00D54508">
        <w:rPr>
          <w:color w:val="000000" w:themeColor="text1"/>
        </w:rPr>
        <w:t>any</w:t>
      </w:r>
      <w:r w:rsidR="00982104">
        <w:rPr>
          <w:color w:val="000000" w:themeColor="text1"/>
        </w:rPr>
        <w:t xml:space="preserve"> </w:t>
      </w:r>
      <w:r w:rsidR="00545EA2">
        <w:rPr>
          <w:color w:val="000000" w:themeColor="text1"/>
        </w:rPr>
        <w:t>TCI state</w:t>
      </w:r>
      <w:r w:rsidR="00982104">
        <w:rPr>
          <w:color w:val="000000" w:themeColor="text1"/>
        </w:rPr>
        <w:t xml:space="preserve"> is</w:t>
      </w:r>
      <w:r w:rsidR="00545EA2">
        <w:rPr>
          <w:color w:val="000000" w:themeColor="text1"/>
        </w:rPr>
        <w:t xml:space="preserve"> activated</w:t>
      </w:r>
      <w:r w:rsidR="007B31F1">
        <w:rPr>
          <w:color w:val="000000" w:themeColor="text1"/>
        </w:rPr>
        <w:t xml:space="preserve"> for it</w:t>
      </w:r>
      <w:r w:rsidR="00D030D0">
        <w:t xml:space="preserve">. </w:t>
      </w:r>
    </w:p>
    <w:p w14:paraId="1ACE877A" w14:textId="55017C88" w:rsidR="00FC4049" w:rsidRDefault="00D030D0" w:rsidP="00FC4049">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Del="00D030D0">
        <w:rPr>
          <w:rFonts w:eastAsia="宋体"/>
        </w:rPr>
        <w:t xml:space="preserve"> </w:t>
      </w:r>
      <w:r w:rsidR="00650DF4">
        <w:rPr>
          <w:rFonts w:eastAsia="宋体"/>
        </w:rPr>
        <w:t>.</w:t>
      </w:r>
    </w:p>
    <w:p w14:paraId="618911AB" w14:textId="47D60D82" w:rsidR="00D030D0" w:rsidRDefault="00D030D0" w:rsidP="00FC4049">
      <w:pPr>
        <w:pStyle w:val="Proposal-Observation"/>
        <w:numPr>
          <w:ilvl w:val="1"/>
          <w:numId w:val="6"/>
        </w:numPr>
        <w:ind w:right="240"/>
        <w:rPr>
          <w:rFonts w:eastAsia="宋体"/>
        </w:rPr>
      </w:pPr>
      <w:r>
        <w:rPr>
          <w:color w:val="000000" w:themeColor="text1"/>
        </w:rPr>
        <w:t>Alt.4: No new behavior is introduced on top of Rel-17 unified TCI.</w:t>
      </w:r>
    </w:p>
    <w:p w14:paraId="3264CA30" w14:textId="77777777" w:rsidR="0095040D" w:rsidRPr="004C45E8" w:rsidRDefault="0095040D" w:rsidP="00E33BEA">
      <w:pPr>
        <w:rPr>
          <w:lang w:val="x-none"/>
        </w:rPr>
      </w:pPr>
    </w:p>
    <w:bookmarkEnd w:id="2"/>
    <w:p w14:paraId="42ED5C2A" w14:textId="74E2CAB6" w:rsidR="00280DED" w:rsidRPr="00280DED" w:rsidRDefault="00280DED" w:rsidP="00D7212A">
      <w:pPr>
        <w:pStyle w:val="10"/>
        <w:spacing w:after="180"/>
        <w:rPr>
          <w:lang w:val="en-US"/>
        </w:rPr>
      </w:pPr>
      <w:r w:rsidRPr="00280DED">
        <w:rPr>
          <w:lang w:val="en-US"/>
        </w:rPr>
        <w:t>Conclusion</w:t>
      </w:r>
    </w:p>
    <w:p w14:paraId="52737016" w14:textId="31C78626" w:rsidR="00564602" w:rsidRDefault="00AC61D6" w:rsidP="00A543E6">
      <w:pPr>
        <w:rPr>
          <w:lang w:val="en-US"/>
        </w:rPr>
      </w:pPr>
      <w:r>
        <w:t>In this contribution, we have shared our views on</w:t>
      </w:r>
      <w:r w:rsidRPr="00AC61D6">
        <w:t xml:space="preserve"> </w:t>
      </w:r>
      <w:r>
        <w:t xml:space="preserve">L1 enhancements for inter-cell beam management. </w:t>
      </w:r>
      <w:r w:rsidR="00564602" w:rsidRPr="008B5F4E">
        <w:rPr>
          <w:lang w:val="en-US"/>
        </w:rPr>
        <w:t>Our proposals in this contribution are summarized below:</w:t>
      </w:r>
    </w:p>
    <w:p w14:paraId="03C1B423" w14:textId="77777777" w:rsidR="00550174" w:rsidRPr="00C8509B" w:rsidRDefault="00550174" w:rsidP="00550174">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1</w:t>
      </w:r>
    </w:p>
    <w:p w14:paraId="3928421C" w14:textId="77777777" w:rsidR="00550174" w:rsidRDefault="00550174" w:rsidP="00550174">
      <w:pPr>
        <w:pStyle w:val="Proposal-Observation"/>
        <w:ind w:leftChars="100" w:left="660" w:right="240" w:hanging="420"/>
      </w:pPr>
      <w:r>
        <w:t>It is supported that a report is associated with the SSBs of multiple cells where a subset of SSBs in ssb-PositionsInBurst can be configured for each cell.</w:t>
      </w:r>
    </w:p>
    <w:p w14:paraId="587D0A21" w14:textId="77777777" w:rsidR="00550174" w:rsidRPr="00EF4B12" w:rsidRDefault="00550174" w:rsidP="00550174">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lastRenderedPageBreak/>
        <w:t>A</w:t>
      </w:r>
      <w:r w:rsidRPr="00EF4B12">
        <w:rPr>
          <w:rFonts w:eastAsia="Microsoft YaHei UI"/>
          <w:color w:val="000000"/>
          <w:szCs w:val="24"/>
          <w:lang w:eastAsia="x-none"/>
        </w:rPr>
        <w:t xml:space="preserve"> </w:t>
      </w:r>
      <w:r>
        <w:rPr>
          <w:rFonts w:eastAsia="Microsoft YaHei UI"/>
          <w:color w:val="000000"/>
          <w:szCs w:val="24"/>
          <w:lang w:eastAsia="x-none"/>
        </w:rPr>
        <w:t xml:space="preserve">UE does not have to measure all the SSBs in </w:t>
      </w:r>
      <w:r>
        <w:t>ssb-PositionsInBurst.</w:t>
      </w:r>
    </w:p>
    <w:p w14:paraId="4FFA8BA6" w14:textId="77777777" w:rsidR="00550174" w:rsidRPr="00C8509B" w:rsidRDefault="00550174" w:rsidP="00550174">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2</w:t>
      </w:r>
    </w:p>
    <w:p w14:paraId="59CC3C37" w14:textId="77777777" w:rsidR="00550174" w:rsidRDefault="00550174" w:rsidP="00550174">
      <w:pPr>
        <w:pStyle w:val="Proposal-Observation"/>
        <w:ind w:leftChars="100" w:left="660" w:right="240" w:hanging="420"/>
      </w:pPr>
      <w:r>
        <w:t>A report includes L1-RSRPs and SSBRIs where SSBRIs are the global indexes of the SSBs</w:t>
      </w:r>
      <w:r w:rsidRPr="003749AA">
        <w:t xml:space="preserve"> </w:t>
      </w:r>
      <w:r>
        <w:t>associated with the report.</w:t>
      </w:r>
    </w:p>
    <w:p w14:paraId="0B2EECD0" w14:textId="77777777" w:rsidR="00550174" w:rsidRPr="00EF4B12" w:rsidRDefault="00550174" w:rsidP="00550174">
      <w:pPr>
        <w:pStyle w:val="Proposal-Observation"/>
        <w:numPr>
          <w:ilvl w:val="1"/>
          <w:numId w:val="6"/>
        </w:numPr>
        <w:ind w:right="240"/>
        <w:rPr>
          <w:rFonts w:eastAsia="Microsoft YaHei UI"/>
          <w:color w:val="000000"/>
          <w:szCs w:val="24"/>
          <w:lang w:eastAsia="x-none"/>
        </w:rPr>
      </w:pPr>
      <w:r>
        <w:rPr>
          <w:rFonts w:eastAsia="Microsoft YaHei UI"/>
          <w:color w:val="000000"/>
          <w:szCs w:val="24"/>
          <w:lang w:eastAsia="x-none"/>
        </w:rPr>
        <w:t>A UE does not need to report the cell indexes.</w:t>
      </w:r>
    </w:p>
    <w:p w14:paraId="223FB172" w14:textId="77777777" w:rsidR="00550174" w:rsidRPr="00EF4B12" w:rsidRDefault="00550174" w:rsidP="00550174">
      <w:pPr>
        <w:rPr>
          <w:b/>
          <w:bCs/>
          <w:u w:val="single"/>
          <w:lang w:val="x-none"/>
        </w:rPr>
      </w:pPr>
      <w:r w:rsidRPr="00EF4B12">
        <w:rPr>
          <w:b/>
          <w:bCs/>
          <w:u w:val="single"/>
          <w:lang w:val="x-none"/>
        </w:rPr>
        <w:t xml:space="preserve">Proposal 3: </w:t>
      </w:r>
    </w:p>
    <w:p w14:paraId="008719A4" w14:textId="77777777" w:rsidR="00550174" w:rsidRPr="00EF4B12" w:rsidRDefault="00550174" w:rsidP="00550174">
      <w:pPr>
        <w:pStyle w:val="Proposal-Observation"/>
        <w:ind w:leftChars="100" w:left="660" w:right="240" w:hanging="420"/>
      </w:pPr>
      <w:r w:rsidRPr="00EF4B12">
        <w:t>As for</w:t>
      </w:r>
      <w:r>
        <w:t xml:space="preserve"> the</w:t>
      </w:r>
      <w:r w:rsidRPr="00EF4B12">
        <w:t xml:space="preserve"> L1-RSRP quantization, the following </w:t>
      </w:r>
      <w:r>
        <w:t>Option A</w:t>
      </w:r>
      <w:r w:rsidRPr="00EF4B12">
        <w:t xml:space="preserve"> </w:t>
      </w:r>
      <w:r>
        <w:t>should be</w:t>
      </w:r>
      <w:r w:rsidRPr="00EF4B12">
        <w:t xml:space="preserve"> </w:t>
      </w:r>
      <w:r>
        <w:t>supported.</w:t>
      </w:r>
    </w:p>
    <w:p w14:paraId="59EF5708" w14:textId="77777777" w:rsidR="00550174" w:rsidRPr="00EF4B12" w:rsidRDefault="00550174" w:rsidP="00550174">
      <w:pPr>
        <w:pStyle w:val="Proposal-Observation"/>
        <w:numPr>
          <w:ilvl w:val="1"/>
          <w:numId w:val="6"/>
        </w:numPr>
        <w:ind w:right="240"/>
        <w:rPr>
          <w:rFonts w:eastAsia="Microsoft YaHei UI"/>
          <w:color w:val="000000"/>
          <w:szCs w:val="24"/>
          <w:lang w:eastAsia="x-none"/>
        </w:rPr>
      </w:pPr>
      <w:r w:rsidRPr="00EF4B12">
        <w:rPr>
          <w:rFonts w:eastAsia="Microsoft YaHei UI"/>
          <w:color w:val="000000"/>
          <w:szCs w:val="24"/>
          <w:lang w:eastAsia="x-none"/>
        </w:rPr>
        <w:t>Option A: Differential encoding is performed per cell, i.e. for each cell, a beam to apply absolute L1-RSRP is chosen among M beams and the differential L1-RSRP is applied to M-1 beams</w:t>
      </w:r>
    </w:p>
    <w:p w14:paraId="4DEABF6C" w14:textId="77777777" w:rsidR="00550174" w:rsidRPr="00C8509B" w:rsidRDefault="00550174" w:rsidP="00550174">
      <w:pPr>
        <w:rPr>
          <w:b/>
          <w:bCs/>
          <w:u w:val="single"/>
          <w:lang w:val="en-US"/>
        </w:rPr>
      </w:pPr>
      <w:r w:rsidRPr="00C8509B">
        <w:rPr>
          <w:rFonts w:hint="eastAsia"/>
          <w:b/>
          <w:bCs/>
          <w:u w:val="single"/>
          <w:lang w:val="x-none"/>
        </w:rPr>
        <w:t>P</w:t>
      </w:r>
      <w:r w:rsidRPr="00C8509B">
        <w:rPr>
          <w:b/>
          <w:bCs/>
          <w:u w:val="single"/>
          <w:lang w:val="x-none"/>
        </w:rPr>
        <w:t>roposal</w:t>
      </w:r>
      <w:r>
        <w:rPr>
          <w:b/>
          <w:bCs/>
          <w:u w:val="single"/>
          <w:lang w:val="x-none"/>
        </w:rPr>
        <w:t xml:space="preserve"> 4</w:t>
      </w:r>
    </w:p>
    <w:p w14:paraId="41BE7EA8" w14:textId="77777777" w:rsidR="00550174" w:rsidRDefault="00550174" w:rsidP="00550174">
      <w:pPr>
        <w:pStyle w:val="Proposal-Observation"/>
        <w:numPr>
          <w:ilvl w:val="0"/>
          <w:numId w:val="6"/>
        </w:numPr>
        <w:ind w:leftChars="100" w:left="660" w:right="240"/>
        <w:rPr>
          <w:rFonts w:eastAsia="宋体"/>
        </w:rPr>
      </w:pPr>
      <w:r>
        <w:rPr>
          <w:rFonts w:eastAsia="宋体"/>
        </w:rPr>
        <w:t xml:space="preserve">For Scenario 2, </w:t>
      </w:r>
      <w:r w:rsidRPr="00A0649B">
        <w:rPr>
          <w:rFonts w:eastAsia="宋体"/>
        </w:rPr>
        <w:t>when</w:t>
      </w:r>
      <w:r>
        <w:t xml:space="preserve"> the cell switch command indicates a TCI state for a target cell, it also</w:t>
      </w:r>
      <w:r w:rsidRPr="00A0649B">
        <w:rPr>
          <w:rFonts w:eastAsia="宋体"/>
        </w:rPr>
        <w:t xml:space="preserve"> appl</w:t>
      </w:r>
      <w:r>
        <w:rPr>
          <w:rFonts w:eastAsia="宋体"/>
        </w:rPr>
        <w:t>ies</w:t>
      </w:r>
      <w:r w:rsidRPr="00A0649B">
        <w:rPr>
          <w:rFonts w:eastAsia="宋体"/>
        </w:rPr>
        <w:t xml:space="preserve"> to </w:t>
      </w:r>
      <w:r>
        <w:rPr>
          <w:rFonts w:eastAsia="宋体"/>
        </w:rPr>
        <w:t xml:space="preserve">the </w:t>
      </w:r>
      <w:r w:rsidRPr="00A0649B">
        <w:rPr>
          <w:rFonts w:eastAsia="宋体"/>
        </w:rPr>
        <w:t>target cells in</w:t>
      </w:r>
      <w:r>
        <w:rPr>
          <w:rFonts w:eastAsia="宋体"/>
        </w:rPr>
        <w:t xml:space="preserve"> the same</w:t>
      </w:r>
      <w:r w:rsidRPr="00A0649B">
        <w:rPr>
          <w:rFonts w:eastAsia="宋体"/>
        </w:rPr>
        <w:t xml:space="preserve"> </w:t>
      </w:r>
      <w:proofErr w:type="spellStart"/>
      <w:r w:rsidRPr="005E081E">
        <w:rPr>
          <w:rFonts w:eastAsia="宋体"/>
        </w:rPr>
        <w:t>simultaneousU</w:t>
      </w:r>
      <w:proofErr w:type="spellEnd"/>
      <w:r w:rsidRPr="005E081E">
        <w:rPr>
          <w:rFonts w:eastAsia="宋体"/>
        </w:rPr>
        <w:t>-TCI-UpdateList.</w:t>
      </w:r>
    </w:p>
    <w:p w14:paraId="440DC680" w14:textId="732E331E" w:rsidR="00550174" w:rsidRDefault="00550174" w:rsidP="00550174">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5</w:t>
      </w:r>
    </w:p>
    <w:p w14:paraId="5F8503AD" w14:textId="77777777" w:rsidR="00550174" w:rsidRPr="00BB67D1" w:rsidRDefault="00550174" w:rsidP="00550174">
      <w:pPr>
        <w:pStyle w:val="Proposal-Observation"/>
        <w:numPr>
          <w:ilvl w:val="0"/>
          <w:numId w:val="6"/>
        </w:numPr>
        <w:ind w:leftChars="100" w:left="660" w:right="240"/>
        <w:rPr>
          <w:rFonts w:eastAsia="宋体"/>
        </w:rPr>
      </w:pPr>
      <w:r>
        <w:rPr>
          <w:rFonts w:eastAsia="宋体" w:hint="eastAsia"/>
        </w:rPr>
        <w:t>F</w:t>
      </w:r>
      <w:r>
        <w:rPr>
          <w:rFonts w:eastAsia="宋体"/>
        </w:rPr>
        <w:t>or Scenario 2,</w:t>
      </w:r>
      <w:r w:rsidRPr="00C25E82">
        <w:rPr>
          <w:rFonts w:eastAsia="宋体"/>
        </w:rPr>
        <w:t xml:space="preserve"> when a MAC CE activates TCI states for a candidate cell, it also applies to the candidate cells in the same </w:t>
      </w:r>
      <w:proofErr w:type="spellStart"/>
      <w:r w:rsidRPr="005E081E">
        <w:rPr>
          <w:rFonts w:eastAsia="宋体"/>
        </w:rPr>
        <w:t>simultaneousU</w:t>
      </w:r>
      <w:proofErr w:type="spellEnd"/>
      <w:r w:rsidRPr="005E081E">
        <w:rPr>
          <w:rFonts w:eastAsia="宋体"/>
        </w:rPr>
        <w:t>-TCI-UpdateList.</w:t>
      </w:r>
    </w:p>
    <w:p w14:paraId="0CEAE243" w14:textId="1E180A16" w:rsidR="00550174" w:rsidRDefault="00550174" w:rsidP="00550174">
      <w:pPr>
        <w:rPr>
          <w:rFonts w:eastAsia="宋体"/>
        </w:rPr>
      </w:pPr>
      <w:r w:rsidRPr="001C3D33">
        <w:rPr>
          <w:rFonts w:hint="eastAsia"/>
          <w:b/>
          <w:bCs/>
          <w:u w:val="single"/>
          <w:lang w:val="x-none"/>
        </w:rPr>
        <w:t>P</w:t>
      </w:r>
      <w:r w:rsidRPr="001C3D33">
        <w:rPr>
          <w:b/>
          <w:bCs/>
          <w:u w:val="single"/>
          <w:lang w:val="x-none"/>
        </w:rPr>
        <w:t xml:space="preserve">roposal </w:t>
      </w:r>
      <w:r>
        <w:rPr>
          <w:b/>
          <w:bCs/>
          <w:u w:val="single"/>
          <w:lang w:val="x-none"/>
        </w:rPr>
        <w:t>6</w:t>
      </w:r>
    </w:p>
    <w:p w14:paraId="29F6D2B9" w14:textId="77777777" w:rsidR="00550174" w:rsidRDefault="00550174" w:rsidP="00550174">
      <w:pPr>
        <w:pStyle w:val="Proposal-Observation"/>
        <w:numPr>
          <w:ilvl w:val="0"/>
          <w:numId w:val="6"/>
        </w:numPr>
        <w:ind w:leftChars="100" w:left="660" w:right="240"/>
        <w:rPr>
          <w:rFonts w:eastAsia="宋体"/>
        </w:rPr>
      </w:pPr>
      <w:r>
        <w:rPr>
          <w:rFonts w:eastAsia="宋体" w:hint="eastAsia"/>
        </w:rPr>
        <w:t>F</w:t>
      </w:r>
      <w:r>
        <w:rPr>
          <w:rFonts w:eastAsia="宋体"/>
        </w:rPr>
        <w:t>or Scenario 2,</w:t>
      </w:r>
      <w:r w:rsidRPr="00C25E82">
        <w:rPr>
          <w:rFonts w:eastAsia="宋体"/>
        </w:rPr>
        <w:t xml:space="preserve"> </w:t>
      </w:r>
      <w:r>
        <w:rPr>
          <w:rFonts w:eastAsia="宋体" w:hint="eastAsia"/>
        </w:rPr>
        <w:t>a</w:t>
      </w:r>
      <w:r>
        <w:rPr>
          <w:rFonts w:eastAsia="宋体"/>
        </w:rPr>
        <w:t>t least the following parameters are provided before the TCI state activation.</w:t>
      </w:r>
    </w:p>
    <w:p w14:paraId="7CFEC763" w14:textId="77777777" w:rsidR="00550174" w:rsidRDefault="00550174" w:rsidP="00550174">
      <w:pPr>
        <w:pStyle w:val="Proposal-Observation"/>
        <w:numPr>
          <w:ilvl w:val="1"/>
          <w:numId w:val="6"/>
        </w:numPr>
        <w:ind w:right="240"/>
        <w:rPr>
          <w:rFonts w:eastAsia="宋体"/>
        </w:rPr>
      </w:pPr>
      <w:proofErr w:type="spellStart"/>
      <w:r w:rsidRPr="005E081E">
        <w:rPr>
          <w:rFonts w:eastAsia="宋体"/>
        </w:rPr>
        <w:t>simultaneousU</w:t>
      </w:r>
      <w:proofErr w:type="spellEnd"/>
      <w:r w:rsidRPr="005E081E">
        <w:rPr>
          <w:rFonts w:eastAsia="宋体"/>
        </w:rPr>
        <w:t>-TCI-UpdateList</w:t>
      </w:r>
      <w:r>
        <w:rPr>
          <w:rFonts w:eastAsia="宋体"/>
        </w:rPr>
        <w:t>.</w:t>
      </w:r>
    </w:p>
    <w:p w14:paraId="55342C68" w14:textId="77777777" w:rsidR="00550174" w:rsidRPr="00FE1109" w:rsidRDefault="00550174" w:rsidP="00550174">
      <w:pPr>
        <w:pStyle w:val="Proposal-Observation"/>
        <w:numPr>
          <w:ilvl w:val="1"/>
          <w:numId w:val="6"/>
        </w:numPr>
        <w:ind w:right="240"/>
        <w:rPr>
          <w:rFonts w:eastAsia="宋体"/>
          <w:lang w:val="x-none"/>
        </w:rPr>
      </w:pPr>
      <w:proofErr w:type="spellStart"/>
      <w:r w:rsidRPr="00FE1109">
        <w:rPr>
          <w:rFonts w:eastAsia="宋体"/>
        </w:rPr>
        <w:t>unifiedTCI-StateType</w:t>
      </w:r>
      <w:proofErr w:type="spellEnd"/>
      <w:r w:rsidRPr="00FE1109">
        <w:rPr>
          <w:rFonts w:eastAsia="宋体"/>
        </w:rPr>
        <w:t xml:space="preserve"> .</w:t>
      </w:r>
    </w:p>
    <w:p w14:paraId="4D986CF8" w14:textId="77777777" w:rsidR="00550174" w:rsidRPr="00C8509B" w:rsidRDefault="00550174" w:rsidP="00550174">
      <w:pPr>
        <w:rPr>
          <w:b/>
          <w:bCs/>
          <w:u w:val="single"/>
          <w:lang w:val="en-US"/>
        </w:rPr>
      </w:pPr>
      <w:r w:rsidRPr="00C8509B">
        <w:rPr>
          <w:rFonts w:hint="eastAsia"/>
          <w:b/>
          <w:bCs/>
          <w:u w:val="single"/>
          <w:lang w:val="x-none"/>
        </w:rPr>
        <w:t>P</w:t>
      </w:r>
      <w:r w:rsidRPr="00C8509B">
        <w:rPr>
          <w:b/>
          <w:bCs/>
          <w:u w:val="single"/>
          <w:lang w:val="x-none"/>
        </w:rPr>
        <w:t xml:space="preserve">roposal </w:t>
      </w:r>
      <w:r>
        <w:rPr>
          <w:b/>
          <w:bCs/>
          <w:u w:val="single"/>
          <w:lang w:val="x-none"/>
        </w:rPr>
        <w:t>7</w:t>
      </w:r>
    </w:p>
    <w:p w14:paraId="6B99421A" w14:textId="77777777" w:rsidR="00550174" w:rsidRDefault="00550174" w:rsidP="00550174">
      <w:pPr>
        <w:pStyle w:val="Proposal-Observation"/>
        <w:numPr>
          <w:ilvl w:val="0"/>
          <w:numId w:val="6"/>
        </w:numPr>
        <w:ind w:leftChars="100" w:left="660" w:right="240"/>
      </w:pPr>
      <w:r>
        <w:t xml:space="preserve">For Scenario 2, the beam application time is the same for multiple cells in </w:t>
      </w:r>
      <w:r>
        <w:rPr>
          <w:rFonts w:eastAsia="宋体"/>
        </w:rPr>
        <w:t>the same</w:t>
      </w:r>
      <w:r w:rsidRPr="00A0649B">
        <w:rPr>
          <w:rFonts w:eastAsia="宋体"/>
        </w:rPr>
        <w:t xml:space="preserve"> </w:t>
      </w:r>
      <w:proofErr w:type="spellStart"/>
      <w:r w:rsidRPr="005E081E">
        <w:rPr>
          <w:rFonts w:eastAsia="宋体"/>
        </w:rPr>
        <w:t>simultaneousU</w:t>
      </w:r>
      <w:proofErr w:type="spellEnd"/>
      <w:r w:rsidRPr="005E081E">
        <w:rPr>
          <w:rFonts w:eastAsia="宋体"/>
        </w:rPr>
        <w:t>-TCI-UpdateList</w:t>
      </w:r>
      <w:r>
        <w:t>.</w:t>
      </w:r>
    </w:p>
    <w:p w14:paraId="7189E1BE" w14:textId="77777777" w:rsidR="00550174" w:rsidRPr="000E64AE" w:rsidRDefault="00550174" w:rsidP="00550174">
      <w:pPr>
        <w:rPr>
          <w:b/>
          <w:bCs/>
          <w:u w:val="single"/>
          <w:lang w:val="x-none"/>
        </w:rPr>
      </w:pPr>
      <w:r w:rsidRPr="000E64AE">
        <w:rPr>
          <w:b/>
          <w:bCs/>
          <w:u w:val="single"/>
          <w:lang w:val="x-none"/>
        </w:rPr>
        <w:t xml:space="preserve">Proposal </w:t>
      </w:r>
      <w:r>
        <w:rPr>
          <w:b/>
          <w:bCs/>
          <w:u w:val="single"/>
          <w:lang w:val="x-none"/>
        </w:rPr>
        <w:t>8</w:t>
      </w:r>
      <w:r w:rsidRPr="000E64AE">
        <w:rPr>
          <w:b/>
          <w:bCs/>
          <w:u w:val="single"/>
          <w:lang w:val="x-none"/>
        </w:rPr>
        <w:t xml:space="preserve">: </w:t>
      </w:r>
    </w:p>
    <w:p w14:paraId="51A6316E" w14:textId="77777777" w:rsidR="00550174" w:rsidRPr="000F65CE" w:rsidRDefault="00550174" w:rsidP="00550174">
      <w:pPr>
        <w:pStyle w:val="Proposal-Observation"/>
        <w:numPr>
          <w:ilvl w:val="0"/>
          <w:numId w:val="6"/>
        </w:numPr>
        <w:ind w:leftChars="100" w:left="660" w:right="240"/>
      </w:pPr>
      <w:r w:rsidRPr="000F65CE">
        <w:t xml:space="preserve">The beam application time is independent </w:t>
      </w:r>
      <w:r>
        <w:t>for the following</w:t>
      </w:r>
      <w:r w:rsidRPr="000F65CE">
        <w:t xml:space="preserve"> </w:t>
      </w:r>
      <w:r>
        <w:t>Case 1 and Case 2 if the beam application time will be defined for both cases.</w:t>
      </w:r>
    </w:p>
    <w:p w14:paraId="6FC32917" w14:textId="77777777" w:rsidR="00550174" w:rsidRPr="000E64AE" w:rsidRDefault="00550174" w:rsidP="00550174">
      <w:pPr>
        <w:pStyle w:val="Proposal-Observation"/>
        <w:numPr>
          <w:ilvl w:val="1"/>
          <w:numId w:val="6"/>
        </w:numPr>
        <w:ind w:right="240"/>
        <w:rPr>
          <w:rFonts w:eastAsia="宋体"/>
        </w:rPr>
      </w:pPr>
      <w:r>
        <w:rPr>
          <w:rFonts w:eastAsia="宋体"/>
        </w:rPr>
        <w:t xml:space="preserve">Case 1: </w:t>
      </w:r>
      <w:r w:rsidRPr="000E64AE">
        <w:rPr>
          <w:rFonts w:eastAsia="宋体"/>
        </w:rPr>
        <w:t>TCI state activation is performed together with TCI state indication</w:t>
      </w:r>
    </w:p>
    <w:p w14:paraId="2D0C5948" w14:textId="77777777" w:rsidR="00550174" w:rsidRPr="000E64AE" w:rsidRDefault="00550174" w:rsidP="00550174">
      <w:pPr>
        <w:pStyle w:val="Proposal-Observation"/>
        <w:numPr>
          <w:ilvl w:val="1"/>
          <w:numId w:val="6"/>
        </w:numPr>
        <w:ind w:right="240"/>
        <w:rPr>
          <w:rFonts w:eastAsia="宋体"/>
        </w:rPr>
      </w:pPr>
      <w:r>
        <w:rPr>
          <w:rFonts w:eastAsia="宋体"/>
        </w:rPr>
        <w:t xml:space="preserve">Case 2: </w:t>
      </w:r>
      <w:r w:rsidRPr="000E64AE">
        <w:rPr>
          <w:rFonts w:eastAsia="宋体"/>
        </w:rPr>
        <w:t>TCI state activation is performed prior to TCI state indication</w:t>
      </w:r>
    </w:p>
    <w:p w14:paraId="4DC9F7CC" w14:textId="3951211B" w:rsidR="00550174" w:rsidRPr="00C8509B" w:rsidRDefault="00550174" w:rsidP="00550174">
      <w:pPr>
        <w:rPr>
          <w:b/>
          <w:bCs/>
          <w:u w:val="single"/>
          <w:lang w:val="en-US"/>
        </w:rPr>
      </w:pPr>
      <w:r w:rsidRPr="00C8509B">
        <w:rPr>
          <w:rFonts w:hint="eastAsia"/>
          <w:b/>
          <w:bCs/>
          <w:u w:val="single"/>
          <w:lang w:val="x-none"/>
        </w:rPr>
        <w:lastRenderedPageBreak/>
        <w:t>P</w:t>
      </w:r>
      <w:r w:rsidRPr="00C8509B">
        <w:rPr>
          <w:b/>
          <w:bCs/>
          <w:u w:val="single"/>
          <w:lang w:val="x-none"/>
        </w:rPr>
        <w:t xml:space="preserve">roposal </w:t>
      </w:r>
      <w:r>
        <w:rPr>
          <w:b/>
          <w:bCs/>
          <w:u w:val="single"/>
          <w:lang w:val="x-none"/>
        </w:rPr>
        <w:t>9</w:t>
      </w:r>
    </w:p>
    <w:p w14:paraId="58342260" w14:textId="77777777" w:rsidR="00550174" w:rsidRDefault="00550174" w:rsidP="00550174">
      <w:pPr>
        <w:pStyle w:val="Proposal-Observation"/>
        <w:numPr>
          <w:ilvl w:val="0"/>
          <w:numId w:val="6"/>
        </w:numPr>
        <w:ind w:leftChars="100" w:left="660" w:right="240"/>
      </w:pPr>
      <w:r>
        <w:t xml:space="preserve">For Scenario 2, to determine the beam for a CORESET which does not follow Rel-17 unified TCI and has no activated TCI state, either Alt.1 is supported or Alt.4 is supported with the clarification implying that </w:t>
      </w:r>
      <w:r>
        <w:rPr>
          <w:color w:val="000000" w:themeColor="text1"/>
        </w:rPr>
        <w:t>the CORESET not following Rel-17 unified TCI cannot be used until any TCI state is activated for it</w:t>
      </w:r>
      <w:r>
        <w:t xml:space="preserve">. </w:t>
      </w:r>
    </w:p>
    <w:p w14:paraId="6317B1D6" w14:textId="77777777" w:rsidR="00550174" w:rsidRDefault="00550174" w:rsidP="00550174">
      <w:pPr>
        <w:pStyle w:val="Proposal-Observation"/>
        <w:numPr>
          <w:ilvl w:val="1"/>
          <w:numId w:val="6"/>
        </w:numPr>
        <w:ind w:right="240"/>
        <w:rPr>
          <w:rFonts w:eastAsia="宋体"/>
        </w:rPr>
      </w:pPr>
      <w:r>
        <w:rPr>
          <w:color w:val="000000" w:themeColor="text1"/>
        </w:rPr>
        <w:t>Alt.1: F</w:t>
      </w:r>
      <w:r>
        <w:rPr>
          <w:rFonts w:hint="eastAsia"/>
          <w:color w:val="000000" w:themeColor="text1"/>
        </w:rPr>
        <w:t xml:space="preserve">ollow the </w:t>
      </w:r>
      <w:r>
        <w:rPr>
          <w:color w:val="000000" w:themeColor="text1"/>
        </w:rPr>
        <w:t xml:space="preserve">indicated </w:t>
      </w:r>
      <w:r>
        <w:rPr>
          <w:rFonts w:hint="eastAsia"/>
          <w:color w:val="000000" w:themeColor="text1"/>
        </w:rPr>
        <w:t xml:space="preserve">TCI </w:t>
      </w:r>
      <w:r>
        <w:rPr>
          <w:color w:val="000000" w:themeColor="text1"/>
        </w:rPr>
        <w:t xml:space="preserve">state </w:t>
      </w:r>
      <w:r>
        <w:rPr>
          <w:rFonts w:hint="eastAsia"/>
          <w:color w:val="000000" w:themeColor="text1"/>
        </w:rPr>
        <w:t>until a new TCI state</w:t>
      </w:r>
      <w:r>
        <w:rPr>
          <w:color w:val="000000" w:themeColor="text1"/>
        </w:rPr>
        <w:t xml:space="preserve"> is configured or activated by the target cell</w:t>
      </w:r>
      <w:r w:rsidDel="00D030D0">
        <w:rPr>
          <w:rFonts w:eastAsia="宋体"/>
        </w:rPr>
        <w:t xml:space="preserve"> </w:t>
      </w:r>
      <w:r>
        <w:rPr>
          <w:rFonts w:eastAsia="宋体"/>
        </w:rPr>
        <w:t>.</w:t>
      </w:r>
    </w:p>
    <w:p w14:paraId="1F0E4D57" w14:textId="77777777" w:rsidR="00550174" w:rsidRDefault="00550174" w:rsidP="00550174">
      <w:pPr>
        <w:pStyle w:val="Proposal-Observation"/>
        <w:numPr>
          <w:ilvl w:val="1"/>
          <w:numId w:val="6"/>
        </w:numPr>
        <w:ind w:right="240"/>
        <w:rPr>
          <w:rFonts w:eastAsia="宋体"/>
        </w:rPr>
      </w:pPr>
      <w:r>
        <w:rPr>
          <w:color w:val="000000" w:themeColor="text1"/>
        </w:rPr>
        <w:t>Alt.4: No new behavior is introduced on top of Rel-17 unified TCI.</w:t>
      </w:r>
    </w:p>
    <w:p w14:paraId="776A539F" w14:textId="77777777" w:rsidR="007D6E52" w:rsidRPr="00550174" w:rsidRDefault="007D6E52" w:rsidP="007D6E52">
      <w:pPr>
        <w:pStyle w:val="Proposal-Observation"/>
        <w:numPr>
          <w:ilvl w:val="0"/>
          <w:numId w:val="0"/>
        </w:numPr>
        <w:ind w:left="360" w:right="240" w:hanging="360"/>
        <w:rPr>
          <w:rFonts w:eastAsia="宋体"/>
        </w:rPr>
      </w:pPr>
    </w:p>
    <w:p w14:paraId="144410A8" w14:textId="57ACCC7A" w:rsidR="00E15F1E" w:rsidRPr="00280DED" w:rsidRDefault="00E15F1E" w:rsidP="00E15F1E">
      <w:pPr>
        <w:pStyle w:val="10"/>
        <w:numPr>
          <w:ilvl w:val="0"/>
          <w:numId w:val="0"/>
        </w:numPr>
        <w:spacing w:after="180"/>
        <w:ind w:left="709" w:hanging="709"/>
        <w:rPr>
          <w:lang w:val="en-US"/>
        </w:rPr>
      </w:pPr>
      <w:r>
        <w:rPr>
          <w:rFonts w:hint="eastAsia"/>
          <w:lang w:val="en-US" w:eastAsia="ja-JP"/>
        </w:rPr>
        <w:t>References</w:t>
      </w:r>
    </w:p>
    <w:p w14:paraId="4C1C45B2" w14:textId="6ADE7E88" w:rsidR="00EC297F" w:rsidRDefault="00EC297F" w:rsidP="00EC297F">
      <w:pPr>
        <w:pStyle w:val="a"/>
        <w:widowControl w:val="0"/>
        <w:numPr>
          <w:ilvl w:val="0"/>
          <w:numId w:val="7"/>
        </w:numPr>
        <w:autoSpaceDN w:val="0"/>
        <w:snapToGrid/>
        <w:spacing w:after="60" w:afterAutospacing="0"/>
        <w:rPr>
          <w:rFonts w:eastAsia="宋体"/>
        </w:rPr>
      </w:pPr>
      <w:bookmarkStart w:id="3" w:name="_Ref127521936"/>
      <w:bookmarkStart w:id="4" w:name="_Ref131494827"/>
      <w:r>
        <w:rPr>
          <w:rFonts w:eastAsia="宋体" w:hint="eastAsia"/>
          <w:lang w:eastAsia="zh-CN"/>
        </w:rPr>
        <w:t>C</w:t>
      </w:r>
      <w:r>
        <w:rPr>
          <w:rFonts w:eastAsia="宋体"/>
          <w:lang w:eastAsia="zh-CN"/>
        </w:rPr>
        <w:t>hair’s notes, RAN1#</w:t>
      </w:r>
      <w:r w:rsidR="00EF6180">
        <w:rPr>
          <w:rFonts w:eastAsia="宋体"/>
          <w:lang w:eastAsia="zh-CN"/>
        </w:rPr>
        <w:t>113</w:t>
      </w:r>
      <w:r>
        <w:rPr>
          <w:rFonts w:eastAsia="宋体"/>
          <w:lang w:eastAsia="zh-CN"/>
        </w:rPr>
        <w:t xml:space="preserve">, </w:t>
      </w:r>
      <w:bookmarkEnd w:id="3"/>
      <w:r w:rsidR="00D75AE4">
        <w:rPr>
          <w:rFonts w:eastAsia="宋体"/>
          <w:lang w:eastAsia="zh-CN"/>
        </w:rPr>
        <w:t xml:space="preserve">May 22 </w:t>
      </w:r>
      <w:r w:rsidR="00C7239C">
        <w:rPr>
          <w:rFonts w:eastAsia="宋体"/>
          <w:lang w:eastAsia="zh-CN"/>
        </w:rPr>
        <w:t xml:space="preserve">– </w:t>
      </w:r>
      <w:r w:rsidR="00D75AE4">
        <w:rPr>
          <w:rFonts w:eastAsia="宋体"/>
          <w:lang w:eastAsia="zh-CN"/>
        </w:rPr>
        <w:t xml:space="preserve">May </w:t>
      </w:r>
      <w:r w:rsidR="00B46095">
        <w:rPr>
          <w:rFonts w:eastAsia="宋体"/>
          <w:lang w:eastAsia="zh-CN"/>
        </w:rPr>
        <w:t>26</w:t>
      </w:r>
      <w:r w:rsidR="00C7239C">
        <w:rPr>
          <w:rFonts w:eastAsia="宋体"/>
          <w:lang w:eastAsia="zh-CN"/>
        </w:rPr>
        <w:t>, 2023.</w:t>
      </w:r>
      <w:bookmarkEnd w:id="4"/>
    </w:p>
    <w:p w14:paraId="0799ED5F" w14:textId="08F11814" w:rsidR="005A638D" w:rsidRPr="001A07A5" w:rsidRDefault="00B46095">
      <w:pPr>
        <w:pStyle w:val="a"/>
        <w:numPr>
          <w:ilvl w:val="0"/>
          <w:numId w:val="7"/>
        </w:numPr>
        <w:rPr>
          <w:lang w:val="en-US"/>
        </w:rPr>
      </w:pPr>
      <w:bookmarkStart w:id="5" w:name="_Ref131495110"/>
      <w:r w:rsidRPr="00B46095">
        <w:rPr>
          <w:lang w:val="en-US"/>
        </w:rPr>
        <w:t>R1-</w:t>
      </w:r>
      <w:r w:rsidR="005A638D" w:rsidRPr="00B46095">
        <w:rPr>
          <w:lang w:val="en-US"/>
        </w:rPr>
        <w:t>230</w:t>
      </w:r>
      <w:r w:rsidR="005A638D">
        <w:rPr>
          <w:lang w:val="en-US"/>
        </w:rPr>
        <w:t>6168</w:t>
      </w:r>
      <w:r w:rsidR="00800E34">
        <w:rPr>
          <w:lang w:val="en-US"/>
        </w:rPr>
        <w:t>, “</w:t>
      </w:r>
      <w:r w:rsidR="005A638D" w:rsidRPr="00D24B00">
        <w:rPr>
          <w:lang w:eastAsia="x-none"/>
        </w:rPr>
        <w:t xml:space="preserve">FL summary </w:t>
      </w:r>
      <w:r w:rsidR="005A638D">
        <w:rPr>
          <w:lang w:eastAsia="x-none"/>
        </w:rPr>
        <w:t>4</w:t>
      </w:r>
      <w:r w:rsidR="005A638D" w:rsidRPr="00D24B00">
        <w:rPr>
          <w:lang w:eastAsia="x-none"/>
        </w:rPr>
        <w:t xml:space="preserve"> on L1 enhancements for inter-cell beam management</w:t>
      </w:r>
      <w:r w:rsidR="00800E34">
        <w:rPr>
          <w:lang w:val="en-US"/>
        </w:rPr>
        <w:t xml:space="preserve">”, </w:t>
      </w:r>
      <w:r w:rsidR="005A638D">
        <w:rPr>
          <w:rFonts w:eastAsia="宋体"/>
          <w:lang w:eastAsia="zh-CN"/>
        </w:rPr>
        <w:t>RAN1#113, May 22 – May 26, 2023.</w:t>
      </w:r>
    </w:p>
    <w:p w14:paraId="4D229E54" w14:textId="77777777" w:rsidR="00AF07AE" w:rsidRPr="00D16F7D" w:rsidRDefault="00AF07AE" w:rsidP="00AF07AE">
      <w:pPr>
        <w:pStyle w:val="a"/>
        <w:numPr>
          <w:ilvl w:val="0"/>
          <w:numId w:val="7"/>
        </w:numPr>
        <w:rPr>
          <w:lang w:val="en-US"/>
        </w:rPr>
      </w:pPr>
      <w:r w:rsidRPr="00B46095">
        <w:rPr>
          <w:lang w:val="en-US"/>
        </w:rPr>
        <w:t>R1-2304274</w:t>
      </w:r>
      <w:r>
        <w:rPr>
          <w:lang w:val="en-US"/>
        </w:rPr>
        <w:t>, “</w:t>
      </w:r>
      <w:r w:rsidRPr="00D16F7D">
        <w:rPr>
          <w:lang w:val="en-US"/>
        </w:rPr>
        <w:t>Final FL summary on L1 enhancements for inter-cell beam management</w:t>
      </w:r>
      <w:r>
        <w:rPr>
          <w:lang w:val="en-US"/>
        </w:rPr>
        <w:t xml:space="preserve">”, </w:t>
      </w:r>
      <w:r>
        <w:rPr>
          <w:rFonts w:eastAsia="宋体"/>
          <w:lang w:eastAsia="zh-CN"/>
        </w:rPr>
        <w:t>RAN1#112b, April 17 – April 26, 2023.</w:t>
      </w:r>
    </w:p>
    <w:p w14:paraId="2754E6E7" w14:textId="59D0C9AB" w:rsidR="00800E34" w:rsidRPr="00D16F7D" w:rsidRDefault="005A638D">
      <w:pPr>
        <w:pStyle w:val="a"/>
        <w:numPr>
          <w:ilvl w:val="0"/>
          <w:numId w:val="7"/>
        </w:numPr>
        <w:rPr>
          <w:lang w:val="en-US"/>
        </w:rPr>
      </w:pPr>
      <w:r>
        <w:rPr>
          <w:rFonts w:eastAsia="宋体" w:hint="eastAsia"/>
          <w:lang w:eastAsia="zh-CN"/>
        </w:rPr>
        <w:t>C</w:t>
      </w:r>
      <w:r>
        <w:rPr>
          <w:rFonts w:eastAsia="宋体"/>
          <w:lang w:eastAsia="zh-CN"/>
        </w:rPr>
        <w:t xml:space="preserve">hair’s notes, </w:t>
      </w:r>
      <w:r w:rsidR="00800E34">
        <w:rPr>
          <w:rFonts w:eastAsia="宋体"/>
          <w:lang w:eastAsia="zh-CN"/>
        </w:rPr>
        <w:t>RAN1#11</w:t>
      </w:r>
      <w:r w:rsidR="008E7990">
        <w:rPr>
          <w:rFonts w:eastAsia="宋体"/>
          <w:lang w:eastAsia="zh-CN"/>
        </w:rPr>
        <w:t>2</w:t>
      </w:r>
      <w:r w:rsidR="00B46095">
        <w:rPr>
          <w:rFonts w:eastAsia="宋体"/>
          <w:lang w:eastAsia="zh-CN"/>
        </w:rPr>
        <w:t>b</w:t>
      </w:r>
      <w:r w:rsidR="00800E34">
        <w:rPr>
          <w:rFonts w:eastAsia="宋体"/>
          <w:lang w:eastAsia="zh-CN"/>
        </w:rPr>
        <w:t xml:space="preserve">, </w:t>
      </w:r>
      <w:r w:rsidR="00B46095">
        <w:rPr>
          <w:rFonts w:eastAsia="宋体"/>
          <w:lang w:eastAsia="zh-CN"/>
        </w:rPr>
        <w:t>April 17 – April 26</w:t>
      </w:r>
      <w:r w:rsidR="00800E34">
        <w:rPr>
          <w:rFonts w:eastAsia="宋体"/>
          <w:lang w:eastAsia="zh-CN"/>
        </w:rPr>
        <w:t>, 202</w:t>
      </w:r>
      <w:r w:rsidR="008E7990">
        <w:rPr>
          <w:rFonts w:eastAsia="宋体"/>
          <w:lang w:eastAsia="zh-CN"/>
        </w:rPr>
        <w:t>3</w:t>
      </w:r>
      <w:r w:rsidR="00800E34">
        <w:rPr>
          <w:rFonts w:eastAsia="宋体"/>
          <w:lang w:eastAsia="zh-CN"/>
        </w:rPr>
        <w:t>.</w:t>
      </w:r>
      <w:bookmarkEnd w:id="5"/>
    </w:p>
    <w:sectPr w:rsidR="00800E34" w:rsidRPr="00D16F7D">
      <w:footerReference w:type="default" r:id="rId17"/>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F77180" w14:textId="77777777" w:rsidR="00D56D8B" w:rsidRDefault="00D56D8B" w:rsidP="005E4B6E">
      <w:pPr>
        <w:spacing w:before="120" w:after="120"/>
      </w:pPr>
      <w:r>
        <w:separator/>
      </w:r>
    </w:p>
    <w:p w14:paraId="01CA47FF" w14:textId="77777777" w:rsidR="00D56D8B" w:rsidRDefault="00D56D8B"/>
  </w:endnote>
  <w:endnote w:type="continuationSeparator" w:id="0">
    <w:p w14:paraId="401C0725" w14:textId="77777777" w:rsidR="00D56D8B" w:rsidRDefault="00D56D8B" w:rsidP="005E4B6E">
      <w:pPr>
        <w:spacing w:before="120" w:after="120"/>
      </w:pPr>
      <w:r>
        <w:continuationSeparator/>
      </w:r>
    </w:p>
    <w:p w14:paraId="0E4AE844" w14:textId="77777777" w:rsidR="00D56D8B" w:rsidRDefault="00D56D8B"/>
  </w:endnote>
  <w:endnote w:type="continuationNotice" w:id="1">
    <w:p w14:paraId="785A1B1A" w14:textId="77777777" w:rsidR="00D56D8B" w:rsidRDefault="00D56D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PMincho">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683031" w14:textId="77777777" w:rsidR="00287BD4" w:rsidRDefault="00287BD4" w:rsidP="005E4B6E">
    <w:pPr>
      <w:pStyle w:val="ae"/>
      <w:spacing w:before="120" w:after="120"/>
      <w:jc w:val="center"/>
    </w:pPr>
    <w:r>
      <w:fldChar w:fldCharType="begin"/>
    </w:r>
    <w:r>
      <w:instrText xml:space="preserve"> PAGE   \* MERGEFORMAT </w:instrText>
    </w:r>
    <w:r>
      <w:fldChar w:fldCharType="separate"/>
    </w:r>
    <w:r w:rsidR="00B423F0" w:rsidRPr="00B423F0">
      <w:rPr>
        <w:noProof/>
        <w:lang w:val="ja-JP"/>
      </w:rPr>
      <w:t>1</w:t>
    </w:r>
    <w:r>
      <w:fldChar w:fldCharType="end"/>
    </w:r>
  </w:p>
  <w:p w14:paraId="2C7F086B" w14:textId="77777777" w:rsidR="00287BD4" w:rsidRDefault="00287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6A2A2" w14:textId="77777777" w:rsidR="00D56D8B" w:rsidRDefault="00D56D8B" w:rsidP="005E4B6E">
      <w:pPr>
        <w:spacing w:before="120" w:after="120"/>
      </w:pPr>
      <w:r>
        <w:separator/>
      </w:r>
    </w:p>
    <w:p w14:paraId="7739F418" w14:textId="77777777" w:rsidR="00D56D8B" w:rsidRDefault="00D56D8B"/>
  </w:footnote>
  <w:footnote w:type="continuationSeparator" w:id="0">
    <w:p w14:paraId="5749A89E" w14:textId="77777777" w:rsidR="00D56D8B" w:rsidRDefault="00D56D8B" w:rsidP="005E4B6E">
      <w:pPr>
        <w:spacing w:before="120" w:after="120"/>
      </w:pPr>
      <w:r>
        <w:continuationSeparator/>
      </w:r>
    </w:p>
    <w:p w14:paraId="3FD696F5" w14:textId="77777777" w:rsidR="00D56D8B" w:rsidRDefault="00D56D8B"/>
  </w:footnote>
  <w:footnote w:type="continuationNotice" w:id="1">
    <w:p w14:paraId="4AE2A782" w14:textId="77777777" w:rsidR="00D56D8B" w:rsidRDefault="00D56D8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47D8B0CA"/>
    <w:lvl w:ilvl="0">
      <w:start w:val="1"/>
      <w:numFmt w:val="bullet"/>
      <w:lvlText w:val=""/>
      <w:lvlJc w:val="left"/>
      <w:pPr>
        <w:tabs>
          <w:tab w:val="num" w:pos="0"/>
        </w:tabs>
        <w:ind w:left="0" w:firstLine="0"/>
      </w:pPr>
      <w:rPr>
        <w:rFonts w:ascii="Wingdings" w:hAnsi="Wingdings"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5F5E4C"/>
    <w:multiLevelType w:val="multilevel"/>
    <w:tmpl w:val="934A04F6"/>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2" w15:restartNumberingAfterBreak="0">
    <w:nsid w:val="04073F30"/>
    <w:multiLevelType w:val="hybridMultilevel"/>
    <w:tmpl w:val="03285380"/>
    <w:lvl w:ilvl="0" w:tplc="41EA1D34">
      <w:start w:val="1"/>
      <w:numFmt w:val="bullet"/>
      <w:pStyle w:val="a"/>
      <w:lvlText w:val=""/>
      <w:lvlJc w:val="left"/>
      <w:pPr>
        <w:ind w:left="360" w:hanging="480"/>
      </w:pPr>
      <w:rPr>
        <w:rFonts w:ascii="Symbol" w:hAnsi="Symbol" w:hint="default"/>
      </w:rPr>
    </w:lvl>
    <w:lvl w:ilvl="1" w:tplc="0409000B">
      <w:start w:val="1"/>
      <w:numFmt w:val="bullet"/>
      <w:lvlText w:val=""/>
      <w:lvlJc w:val="left"/>
      <w:pPr>
        <w:ind w:left="0" w:hanging="480"/>
      </w:pPr>
      <w:rPr>
        <w:rFonts w:ascii="Wingdings" w:hAnsi="Wingdings" w:hint="default"/>
      </w:rPr>
    </w:lvl>
    <w:lvl w:ilvl="2" w:tplc="0409000D">
      <w:start w:val="1"/>
      <w:numFmt w:val="bullet"/>
      <w:lvlText w:val=""/>
      <w:lvlJc w:val="left"/>
      <w:pPr>
        <w:ind w:left="480" w:hanging="480"/>
      </w:pPr>
      <w:rPr>
        <w:rFonts w:ascii="Wingdings" w:hAnsi="Wingdings" w:hint="default"/>
      </w:rPr>
    </w:lvl>
    <w:lvl w:ilvl="3" w:tplc="04090001" w:tentative="1">
      <w:start w:val="1"/>
      <w:numFmt w:val="bullet"/>
      <w:lvlText w:val=""/>
      <w:lvlJc w:val="left"/>
      <w:pPr>
        <w:ind w:left="960" w:hanging="480"/>
      </w:pPr>
      <w:rPr>
        <w:rFonts w:ascii="Wingdings" w:hAnsi="Wingdings" w:hint="default"/>
      </w:rPr>
    </w:lvl>
    <w:lvl w:ilvl="4" w:tplc="0409000B">
      <w:start w:val="1"/>
      <w:numFmt w:val="bullet"/>
      <w:lvlText w:val=""/>
      <w:lvlJc w:val="left"/>
      <w:pPr>
        <w:ind w:left="1440" w:hanging="480"/>
      </w:pPr>
      <w:rPr>
        <w:rFonts w:ascii="Wingdings" w:hAnsi="Wingdings" w:hint="default"/>
      </w:rPr>
    </w:lvl>
    <w:lvl w:ilvl="5" w:tplc="0409000D" w:tentative="1">
      <w:start w:val="1"/>
      <w:numFmt w:val="bullet"/>
      <w:lvlText w:val=""/>
      <w:lvlJc w:val="left"/>
      <w:pPr>
        <w:ind w:left="1920" w:hanging="480"/>
      </w:pPr>
      <w:rPr>
        <w:rFonts w:ascii="Wingdings" w:hAnsi="Wingdings" w:hint="default"/>
      </w:rPr>
    </w:lvl>
    <w:lvl w:ilvl="6" w:tplc="04090001" w:tentative="1">
      <w:start w:val="1"/>
      <w:numFmt w:val="bullet"/>
      <w:lvlText w:val=""/>
      <w:lvlJc w:val="left"/>
      <w:pPr>
        <w:ind w:left="2400" w:hanging="480"/>
      </w:pPr>
      <w:rPr>
        <w:rFonts w:ascii="Wingdings" w:hAnsi="Wingdings" w:hint="default"/>
      </w:rPr>
    </w:lvl>
    <w:lvl w:ilvl="7" w:tplc="0409000B" w:tentative="1">
      <w:start w:val="1"/>
      <w:numFmt w:val="bullet"/>
      <w:lvlText w:val=""/>
      <w:lvlJc w:val="left"/>
      <w:pPr>
        <w:ind w:left="2880" w:hanging="480"/>
      </w:pPr>
      <w:rPr>
        <w:rFonts w:ascii="Wingdings" w:hAnsi="Wingdings" w:hint="default"/>
      </w:rPr>
    </w:lvl>
    <w:lvl w:ilvl="8" w:tplc="0409000D" w:tentative="1">
      <w:start w:val="1"/>
      <w:numFmt w:val="bullet"/>
      <w:lvlText w:val=""/>
      <w:lvlJc w:val="left"/>
      <w:pPr>
        <w:ind w:left="3360" w:hanging="480"/>
      </w:pPr>
      <w:rPr>
        <w:rFonts w:ascii="Wingdings" w:hAnsi="Wingdings" w:hint="default"/>
      </w:rPr>
    </w:lvl>
  </w:abstractNum>
  <w:abstractNum w:abstractNumId="3" w15:restartNumberingAfterBreak="0">
    <w:nsid w:val="04293BD1"/>
    <w:multiLevelType w:val="hybridMultilevel"/>
    <w:tmpl w:val="1974F35A"/>
    <w:lvl w:ilvl="0" w:tplc="84808B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166D172B"/>
    <w:multiLevelType w:val="hybridMultilevel"/>
    <w:tmpl w:val="E4FC540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B8A4602"/>
    <w:multiLevelType w:val="hybridMultilevel"/>
    <w:tmpl w:val="FB569848"/>
    <w:lvl w:ilvl="0" w:tplc="812ABB82">
      <w:start w:val="1"/>
      <w:numFmt w:val="bullet"/>
      <w:lvlText w:val="●"/>
      <w:lvlJc w:val="left"/>
      <w:pPr>
        <w:tabs>
          <w:tab w:val="num" w:pos="720"/>
        </w:tabs>
        <w:ind w:left="720" w:hanging="360"/>
      </w:pPr>
      <w:rPr>
        <w:rFonts w:ascii="Arial" w:hAnsi="Arial" w:hint="default"/>
      </w:rPr>
    </w:lvl>
    <w:lvl w:ilvl="1" w:tplc="EF44CD16">
      <w:start w:val="1"/>
      <w:numFmt w:val="bullet"/>
      <w:lvlText w:val="●"/>
      <w:lvlJc w:val="left"/>
      <w:pPr>
        <w:tabs>
          <w:tab w:val="num" w:pos="1440"/>
        </w:tabs>
        <w:ind w:left="1440" w:hanging="360"/>
      </w:pPr>
      <w:rPr>
        <w:rFonts w:ascii="Arial" w:hAnsi="Arial" w:hint="default"/>
      </w:rPr>
    </w:lvl>
    <w:lvl w:ilvl="2" w:tplc="4EF0DA96" w:tentative="1">
      <w:start w:val="1"/>
      <w:numFmt w:val="bullet"/>
      <w:lvlText w:val="●"/>
      <w:lvlJc w:val="left"/>
      <w:pPr>
        <w:tabs>
          <w:tab w:val="num" w:pos="2160"/>
        </w:tabs>
        <w:ind w:left="2160" w:hanging="360"/>
      </w:pPr>
      <w:rPr>
        <w:rFonts w:ascii="Arial" w:hAnsi="Arial" w:hint="default"/>
      </w:rPr>
    </w:lvl>
    <w:lvl w:ilvl="3" w:tplc="43D0F46E">
      <w:numFmt w:val="bullet"/>
      <w:lvlText w:val="●"/>
      <w:lvlJc w:val="left"/>
      <w:pPr>
        <w:tabs>
          <w:tab w:val="num" w:pos="2880"/>
        </w:tabs>
        <w:ind w:left="2880" w:hanging="360"/>
      </w:pPr>
      <w:rPr>
        <w:rFonts w:ascii="Arial" w:hAnsi="Arial" w:hint="default"/>
      </w:rPr>
    </w:lvl>
    <w:lvl w:ilvl="4" w:tplc="DB001272" w:tentative="1">
      <w:start w:val="1"/>
      <w:numFmt w:val="bullet"/>
      <w:lvlText w:val="●"/>
      <w:lvlJc w:val="left"/>
      <w:pPr>
        <w:tabs>
          <w:tab w:val="num" w:pos="3600"/>
        </w:tabs>
        <w:ind w:left="3600" w:hanging="360"/>
      </w:pPr>
      <w:rPr>
        <w:rFonts w:ascii="Arial" w:hAnsi="Arial" w:hint="default"/>
      </w:rPr>
    </w:lvl>
    <w:lvl w:ilvl="5" w:tplc="E5BE7174" w:tentative="1">
      <w:start w:val="1"/>
      <w:numFmt w:val="bullet"/>
      <w:lvlText w:val="●"/>
      <w:lvlJc w:val="left"/>
      <w:pPr>
        <w:tabs>
          <w:tab w:val="num" w:pos="4320"/>
        </w:tabs>
        <w:ind w:left="4320" w:hanging="360"/>
      </w:pPr>
      <w:rPr>
        <w:rFonts w:ascii="Arial" w:hAnsi="Arial" w:hint="default"/>
      </w:rPr>
    </w:lvl>
    <w:lvl w:ilvl="6" w:tplc="EE386746" w:tentative="1">
      <w:start w:val="1"/>
      <w:numFmt w:val="bullet"/>
      <w:lvlText w:val="●"/>
      <w:lvlJc w:val="left"/>
      <w:pPr>
        <w:tabs>
          <w:tab w:val="num" w:pos="5040"/>
        </w:tabs>
        <w:ind w:left="5040" w:hanging="360"/>
      </w:pPr>
      <w:rPr>
        <w:rFonts w:ascii="Arial" w:hAnsi="Arial" w:hint="default"/>
      </w:rPr>
    </w:lvl>
    <w:lvl w:ilvl="7" w:tplc="75C8DB00" w:tentative="1">
      <w:start w:val="1"/>
      <w:numFmt w:val="bullet"/>
      <w:lvlText w:val="●"/>
      <w:lvlJc w:val="left"/>
      <w:pPr>
        <w:tabs>
          <w:tab w:val="num" w:pos="5760"/>
        </w:tabs>
        <w:ind w:left="5760" w:hanging="360"/>
      </w:pPr>
      <w:rPr>
        <w:rFonts w:ascii="Arial" w:hAnsi="Arial" w:hint="default"/>
      </w:rPr>
    </w:lvl>
    <w:lvl w:ilvl="8" w:tplc="2308327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3F376D"/>
    <w:multiLevelType w:val="hybridMultilevel"/>
    <w:tmpl w:val="3E20A7D8"/>
    <w:lvl w:ilvl="0" w:tplc="35D0C988">
      <w:start w:val="1"/>
      <w:numFmt w:val="bullet"/>
      <w:lvlText w:val=""/>
      <w:lvlJc w:val="left"/>
      <w:pPr>
        <w:ind w:left="1020" w:hanging="420"/>
      </w:pPr>
      <w:rPr>
        <w:rFonts w:ascii="Symbol" w:hAnsi="Symbol" w:hint="default"/>
      </w:rPr>
    </w:lvl>
    <w:lvl w:ilvl="1" w:tplc="04090003">
      <w:start w:val="1"/>
      <w:numFmt w:val="bullet"/>
      <w:lvlText w:val="o"/>
      <w:lvlJc w:val="left"/>
      <w:pPr>
        <w:ind w:left="1440" w:hanging="420"/>
      </w:pPr>
      <w:rPr>
        <w:rFonts w:ascii="Courier New" w:hAnsi="Courier New" w:cs="Courier New" w:hint="default"/>
      </w:rPr>
    </w:lvl>
    <w:lvl w:ilvl="2" w:tplc="DE5025EC">
      <w:numFmt w:val="bullet"/>
      <w:lvlText w:val="-"/>
      <w:lvlJc w:val="left"/>
      <w:pPr>
        <w:ind w:left="1860" w:hanging="420"/>
      </w:pPr>
      <w:rPr>
        <w:rFonts w:ascii="Times New Roman" w:eastAsiaTheme="minorEastAsia" w:hAnsi="Times New Roman" w:cs="Times New Roman" w:hint="default"/>
      </w:rPr>
    </w:lvl>
    <w:lvl w:ilvl="3" w:tplc="04090001">
      <w:start w:val="1"/>
      <w:numFmt w:val="bullet"/>
      <w:lvlText w:val=""/>
      <w:lvlJc w:val="left"/>
      <w:pPr>
        <w:ind w:left="2280" w:hanging="420"/>
      </w:pPr>
      <w:rPr>
        <w:rFonts w:ascii="Wingdings" w:hAnsi="Wingdings" w:hint="default"/>
      </w:rPr>
    </w:lvl>
    <w:lvl w:ilvl="4" w:tplc="0409000B">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9" w15:restartNumberingAfterBreak="0">
    <w:nsid w:val="39553492"/>
    <w:multiLevelType w:val="hybridMultilevel"/>
    <w:tmpl w:val="EF064828"/>
    <w:lvl w:ilvl="0" w:tplc="B66E3D06">
      <w:start w:val="1"/>
      <w:numFmt w:val="bullet"/>
      <w:lvlText w:val="●"/>
      <w:lvlJc w:val="left"/>
      <w:pPr>
        <w:tabs>
          <w:tab w:val="num" w:pos="720"/>
        </w:tabs>
        <w:ind w:left="720" w:hanging="360"/>
      </w:pPr>
      <w:rPr>
        <w:rFonts w:ascii="Arial" w:hAnsi="Arial" w:hint="default"/>
      </w:rPr>
    </w:lvl>
    <w:lvl w:ilvl="1" w:tplc="844E097E">
      <w:numFmt w:val="bullet"/>
      <w:lvlText w:val="●"/>
      <w:lvlJc w:val="left"/>
      <w:pPr>
        <w:tabs>
          <w:tab w:val="num" w:pos="1440"/>
        </w:tabs>
        <w:ind w:left="1440" w:hanging="360"/>
      </w:pPr>
      <w:rPr>
        <w:rFonts w:ascii="Arial" w:hAnsi="Arial" w:hint="default"/>
      </w:rPr>
    </w:lvl>
    <w:lvl w:ilvl="2" w:tplc="A5C280CE" w:tentative="1">
      <w:start w:val="1"/>
      <w:numFmt w:val="bullet"/>
      <w:lvlText w:val="●"/>
      <w:lvlJc w:val="left"/>
      <w:pPr>
        <w:tabs>
          <w:tab w:val="num" w:pos="2160"/>
        </w:tabs>
        <w:ind w:left="2160" w:hanging="360"/>
      </w:pPr>
      <w:rPr>
        <w:rFonts w:ascii="Arial" w:hAnsi="Arial" w:hint="default"/>
      </w:rPr>
    </w:lvl>
    <w:lvl w:ilvl="3" w:tplc="DDD4B342" w:tentative="1">
      <w:start w:val="1"/>
      <w:numFmt w:val="bullet"/>
      <w:lvlText w:val="●"/>
      <w:lvlJc w:val="left"/>
      <w:pPr>
        <w:tabs>
          <w:tab w:val="num" w:pos="2880"/>
        </w:tabs>
        <w:ind w:left="2880" w:hanging="360"/>
      </w:pPr>
      <w:rPr>
        <w:rFonts w:ascii="Arial" w:hAnsi="Arial" w:hint="default"/>
      </w:rPr>
    </w:lvl>
    <w:lvl w:ilvl="4" w:tplc="73A62044" w:tentative="1">
      <w:start w:val="1"/>
      <w:numFmt w:val="bullet"/>
      <w:lvlText w:val="●"/>
      <w:lvlJc w:val="left"/>
      <w:pPr>
        <w:tabs>
          <w:tab w:val="num" w:pos="3600"/>
        </w:tabs>
        <w:ind w:left="3600" w:hanging="360"/>
      </w:pPr>
      <w:rPr>
        <w:rFonts w:ascii="Arial" w:hAnsi="Arial" w:hint="default"/>
      </w:rPr>
    </w:lvl>
    <w:lvl w:ilvl="5" w:tplc="5872A9CC" w:tentative="1">
      <w:start w:val="1"/>
      <w:numFmt w:val="bullet"/>
      <w:lvlText w:val="●"/>
      <w:lvlJc w:val="left"/>
      <w:pPr>
        <w:tabs>
          <w:tab w:val="num" w:pos="4320"/>
        </w:tabs>
        <w:ind w:left="4320" w:hanging="360"/>
      </w:pPr>
      <w:rPr>
        <w:rFonts w:ascii="Arial" w:hAnsi="Arial" w:hint="default"/>
      </w:rPr>
    </w:lvl>
    <w:lvl w:ilvl="6" w:tplc="99721F9A" w:tentative="1">
      <w:start w:val="1"/>
      <w:numFmt w:val="bullet"/>
      <w:lvlText w:val="●"/>
      <w:lvlJc w:val="left"/>
      <w:pPr>
        <w:tabs>
          <w:tab w:val="num" w:pos="5040"/>
        </w:tabs>
        <w:ind w:left="5040" w:hanging="360"/>
      </w:pPr>
      <w:rPr>
        <w:rFonts w:ascii="Arial" w:hAnsi="Arial" w:hint="default"/>
      </w:rPr>
    </w:lvl>
    <w:lvl w:ilvl="7" w:tplc="C6EE1D16" w:tentative="1">
      <w:start w:val="1"/>
      <w:numFmt w:val="bullet"/>
      <w:lvlText w:val="●"/>
      <w:lvlJc w:val="left"/>
      <w:pPr>
        <w:tabs>
          <w:tab w:val="num" w:pos="5760"/>
        </w:tabs>
        <w:ind w:left="5760" w:hanging="360"/>
      </w:pPr>
      <w:rPr>
        <w:rFonts w:ascii="Arial" w:hAnsi="Arial" w:hint="default"/>
      </w:rPr>
    </w:lvl>
    <w:lvl w:ilvl="8" w:tplc="1A38196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5E040901"/>
    <w:multiLevelType w:val="hybridMultilevel"/>
    <w:tmpl w:val="13063AEA"/>
    <w:lvl w:ilvl="0" w:tplc="9456146A">
      <w:start w:val="1"/>
      <w:numFmt w:val="bullet"/>
      <w:lvlText w:val="-"/>
      <w:lvlJc w:val="left"/>
      <w:pPr>
        <w:tabs>
          <w:tab w:val="num" w:pos="720"/>
        </w:tabs>
        <w:ind w:left="720" w:hanging="360"/>
      </w:pPr>
      <w:rPr>
        <w:rFonts w:ascii="Times New Roman" w:hAnsi="Times New Roman" w:hint="default"/>
      </w:rPr>
    </w:lvl>
    <w:lvl w:ilvl="1" w:tplc="81506FC2">
      <w:numFmt w:val="bullet"/>
      <w:lvlText w:val="-"/>
      <w:lvlJc w:val="left"/>
      <w:pPr>
        <w:tabs>
          <w:tab w:val="num" w:pos="1440"/>
        </w:tabs>
        <w:ind w:left="1440" w:hanging="360"/>
      </w:pPr>
      <w:rPr>
        <w:rFonts w:ascii="Yu Gothic" w:hAnsi="Yu Gothic" w:hint="default"/>
      </w:rPr>
    </w:lvl>
    <w:lvl w:ilvl="2" w:tplc="04047BEC">
      <w:numFmt w:val="bullet"/>
      <w:lvlText w:val="-"/>
      <w:lvlJc w:val="left"/>
      <w:pPr>
        <w:tabs>
          <w:tab w:val="num" w:pos="2160"/>
        </w:tabs>
        <w:ind w:left="2160" w:hanging="360"/>
      </w:pPr>
      <w:rPr>
        <w:rFonts w:ascii="Yu Gothic" w:hAnsi="Yu Gothic" w:hint="default"/>
      </w:rPr>
    </w:lvl>
    <w:lvl w:ilvl="3" w:tplc="71F8B9A0">
      <w:numFmt w:val="bullet"/>
      <w:lvlText w:val="-"/>
      <w:lvlJc w:val="left"/>
      <w:pPr>
        <w:tabs>
          <w:tab w:val="num" w:pos="2880"/>
        </w:tabs>
        <w:ind w:left="2880" w:hanging="360"/>
      </w:pPr>
      <w:rPr>
        <w:rFonts w:ascii="Yu Gothic" w:hAnsi="Yu Gothic" w:hint="default"/>
      </w:rPr>
    </w:lvl>
    <w:lvl w:ilvl="4" w:tplc="BFA47C98" w:tentative="1">
      <w:start w:val="1"/>
      <w:numFmt w:val="bullet"/>
      <w:lvlText w:val="-"/>
      <w:lvlJc w:val="left"/>
      <w:pPr>
        <w:tabs>
          <w:tab w:val="num" w:pos="3600"/>
        </w:tabs>
        <w:ind w:left="3600" w:hanging="360"/>
      </w:pPr>
      <w:rPr>
        <w:rFonts w:ascii="Times New Roman" w:hAnsi="Times New Roman" w:hint="default"/>
      </w:rPr>
    </w:lvl>
    <w:lvl w:ilvl="5" w:tplc="4C2A45DE" w:tentative="1">
      <w:start w:val="1"/>
      <w:numFmt w:val="bullet"/>
      <w:lvlText w:val="-"/>
      <w:lvlJc w:val="left"/>
      <w:pPr>
        <w:tabs>
          <w:tab w:val="num" w:pos="4320"/>
        </w:tabs>
        <w:ind w:left="4320" w:hanging="360"/>
      </w:pPr>
      <w:rPr>
        <w:rFonts w:ascii="Times New Roman" w:hAnsi="Times New Roman" w:hint="default"/>
      </w:rPr>
    </w:lvl>
    <w:lvl w:ilvl="6" w:tplc="CBDA00F8" w:tentative="1">
      <w:start w:val="1"/>
      <w:numFmt w:val="bullet"/>
      <w:lvlText w:val="-"/>
      <w:lvlJc w:val="left"/>
      <w:pPr>
        <w:tabs>
          <w:tab w:val="num" w:pos="5040"/>
        </w:tabs>
        <w:ind w:left="5040" w:hanging="360"/>
      </w:pPr>
      <w:rPr>
        <w:rFonts w:ascii="Times New Roman" w:hAnsi="Times New Roman" w:hint="default"/>
      </w:rPr>
    </w:lvl>
    <w:lvl w:ilvl="7" w:tplc="6B702BF4" w:tentative="1">
      <w:start w:val="1"/>
      <w:numFmt w:val="bullet"/>
      <w:lvlText w:val="-"/>
      <w:lvlJc w:val="left"/>
      <w:pPr>
        <w:tabs>
          <w:tab w:val="num" w:pos="5760"/>
        </w:tabs>
        <w:ind w:left="5760" w:hanging="360"/>
      </w:pPr>
      <w:rPr>
        <w:rFonts w:ascii="Times New Roman" w:hAnsi="Times New Roman" w:hint="default"/>
      </w:rPr>
    </w:lvl>
    <w:lvl w:ilvl="8" w:tplc="8436A2B0"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4" w15:restartNumberingAfterBreak="0">
    <w:nsid w:val="703157D4"/>
    <w:multiLevelType w:val="multilevel"/>
    <w:tmpl w:val="63008CF2"/>
    <w:lvl w:ilvl="0">
      <w:start w:val="1"/>
      <w:numFmt w:val="decimal"/>
      <w:pStyle w:val="10"/>
      <w:lvlText w:val="%1."/>
      <w:lvlJc w:val="left"/>
      <w:pPr>
        <w:tabs>
          <w:tab w:val="num" w:pos="709"/>
        </w:tabs>
        <w:ind w:left="709" w:hanging="709"/>
      </w:pPr>
      <w:rPr>
        <w:rFonts w:hint="eastAsia"/>
        <w:lang w:val="x-none"/>
      </w:rPr>
    </w:lvl>
    <w:lvl w:ilvl="1">
      <w:start w:val="1"/>
      <w:numFmt w:val="decimal"/>
      <w:pStyle w:val="20"/>
      <w:lvlText w:val="%1.%2."/>
      <w:lvlJc w:val="left"/>
      <w:pPr>
        <w:tabs>
          <w:tab w:val="num" w:pos="3403"/>
        </w:tabs>
        <w:ind w:left="3403" w:hanging="567"/>
      </w:pPr>
      <w:rPr>
        <w:rFonts w:hint="eastAsia"/>
        <w:lang w:val="x-none"/>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5"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17" w15:restartNumberingAfterBreak="0">
    <w:nsid w:val="77E5706E"/>
    <w:multiLevelType w:val="hybridMultilevel"/>
    <w:tmpl w:val="E14818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91964922">
    <w:abstractNumId w:val="14"/>
  </w:num>
  <w:num w:numId="2" w16cid:durableId="462771514">
    <w:abstractNumId w:val="4"/>
  </w:num>
  <w:num w:numId="3" w16cid:durableId="2022269329">
    <w:abstractNumId w:val="0"/>
  </w:num>
  <w:num w:numId="4" w16cid:durableId="963774252">
    <w:abstractNumId w:val="2"/>
  </w:num>
  <w:num w:numId="5" w16cid:durableId="180315026">
    <w:abstractNumId w:val="1"/>
  </w:num>
  <w:num w:numId="6" w16cid:durableId="1667394689">
    <w:abstractNumId w:val="8"/>
  </w:num>
  <w:num w:numId="7" w16cid:durableId="667366542">
    <w:abstractNumId w:val="3"/>
  </w:num>
  <w:num w:numId="8" w16cid:durableId="825629716">
    <w:abstractNumId w:val="6"/>
  </w:num>
  <w:num w:numId="9" w16cid:durableId="196506017">
    <w:abstractNumId w:val="17"/>
  </w:num>
  <w:num w:numId="10" w16cid:durableId="762578345">
    <w:abstractNumId w:val="2"/>
  </w:num>
  <w:num w:numId="11" w16cid:durableId="2026519118">
    <w:abstractNumId w:val="2"/>
  </w:num>
  <w:num w:numId="12" w16cid:durableId="2134515081">
    <w:abstractNumId w:val="15"/>
  </w:num>
  <w:num w:numId="13" w16cid:durableId="1897660895">
    <w:abstractNumId w:val="10"/>
  </w:num>
  <w:num w:numId="14" w16cid:durableId="2119063667">
    <w:abstractNumId w:val="2"/>
  </w:num>
  <w:num w:numId="15" w16cid:durableId="426271760">
    <w:abstractNumId w:val="12"/>
  </w:num>
  <w:num w:numId="16" w16cid:durableId="1370107503">
    <w:abstractNumId w:val="2"/>
  </w:num>
  <w:num w:numId="17" w16cid:durableId="1690373729">
    <w:abstractNumId w:val="2"/>
  </w:num>
  <w:num w:numId="18" w16cid:durableId="780733088">
    <w:abstractNumId w:val="11"/>
  </w:num>
  <w:num w:numId="19" w16cid:durableId="885869243">
    <w:abstractNumId w:val="13"/>
  </w:num>
  <w:num w:numId="20" w16cid:durableId="265307112">
    <w:abstractNumId w:val="2"/>
  </w:num>
  <w:num w:numId="21" w16cid:durableId="1103763660">
    <w:abstractNumId w:val="2"/>
  </w:num>
  <w:num w:numId="22" w16cid:durableId="2089183706">
    <w:abstractNumId w:val="2"/>
  </w:num>
  <w:num w:numId="23" w16cid:durableId="268898586">
    <w:abstractNumId w:val="2"/>
  </w:num>
  <w:num w:numId="24" w16cid:durableId="1818647463">
    <w:abstractNumId w:val="2"/>
  </w:num>
  <w:num w:numId="25" w16cid:durableId="981807500">
    <w:abstractNumId w:val="2"/>
  </w:num>
  <w:num w:numId="26" w16cid:durableId="519512212">
    <w:abstractNumId w:val="16"/>
  </w:num>
  <w:num w:numId="27" w16cid:durableId="1432628354">
    <w:abstractNumId w:val="2"/>
  </w:num>
  <w:num w:numId="28" w16cid:durableId="535658198">
    <w:abstractNumId w:val="2"/>
  </w:num>
  <w:num w:numId="29" w16cid:durableId="697314950">
    <w:abstractNumId w:val="5"/>
  </w:num>
  <w:num w:numId="30" w16cid:durableId="2056158">
    <w:abstractNumId w:val="2"/>
  </w:num>
  <w:num w:numId="31" w16cid:durableId="277568342">
    <w:abstractNumId w:val="2"/>
  </w:num>
  <w:num w:numId="32" w16cid:durableId="552736736">
    <w:abstractNumId w:val="2"/>
  </w:num>
  <w:num w:numId="33" w16cid:durableId="1067921670">
    <w:abstractNumId w:val="2"/>
  </w:num>
  <w:num w:numId="34" w16cid:durableId="861210651">
    <w:abstractNumId w:val="2"/>
  </w:num>
  <w:num w:numId="35" w16cid:durableId="1036782594">
    <w:abstractNumId w:val="2"/>
  </w:num>
  <w:num w:numId="36" w16cid:durableId="459108217">
    <w:abstractNumId w:val="2"/>
  </w:num>
  <w:num w:numId="37" w16cid:durableId="1340086010">
    <w:abstractNumId w:val="2"/>
  </w:num>
  <w:num w:numId="38" w16cid:durableId="781265783">
    <w:abstractNumId w:val="2"/>
  </w:num>
  <w:num w:numId="39" w16cid:durableId="2047413486">
    <w:abstractNumId w:val="7"/>
  </w:num>
  <w:num w:numId="40" w16cid:durableId="800615113">
    <w:abstractNumId w:val="2"/>
  </w:num>
  <w:num w:numId="41" w16cid:durableId="1579359370">
    <w:abstractNumId w:val="2"/>
  </w:num>
  <w:num w:numId="42" w16cid:durableId="276450203">
    <w:abstractNumId w:val="9"/>
  </w:num>
  <w:num w:numId="43" w16cid:durableId="1248997277">
    <w:abstractNumId w:val="2"/>
  </w:num>
  <w:num w:numId="44" w16cid:durableId="328868830">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DateAndTime/>
  <w:doNotDisplayPageBoundaries/>
  <w:bordersDoNotSurroundHeader/>
  <w:bordersDoNotSurroundFooter/>
  <w:proofState w:spelling="clean"/>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301CE"/>
    <w:rsid w:val="000010D2"/>
    <w:rsid w:val="000012F6"/>
    <w:rsid w:val="00002279"/>
    <w:rsid w:val="000037F2"/>
    <w:rsid w:val="000039E6"/>
    <w:rsid w:val="000040FA"/>
    <w:rsid w:val="000045CD"/>
    <w:rsid w:val="00004739"/>
    <w:rsid w:val="0000552D"/>
    <w:rsid w:val="00005695"/>
    <w:rsid w:val="00005F8C"/>
    <w:rsid w:val="00006080"/>
    <w:rsid w:val="00007B6C"/>
    <w:rsid w:val="00010959"/>
    <w:rsid w:val="00011273"/>
    <w:rsid w:val="000116DA"/>
    <w:rsid w:val="00011D68"/>
    <w:rsid w:val="00012441"/>
    <w:rsid w:val="000125BA"/>
    <w:rsid w:val="00012C54"/>
    <w:rsid w:val="000133C2"/>
    <w:rsid w:val="000133C6"/>
    <w:rsid w:val="00013D11"/>
    <w:rsid w:val="00013EC2"/>
    <w:rsid w:val="00013FD0"/>
    <w:rsid w:val="000146FA"/>
    <w:rsid w:val="00014F37"/>
    <w:rsid w:val="000150D0"/>
    <w:rsid w:val="000157D4"/>
    <w:rsid w:val="00015E24"/>
    <w:rsid w:val="00016225"/>
    <w:rsid w:val="00016A2B"/>
    <w:rsid w:val="000170B6"/>
    <w:rsid w:val="00017546"/>
    <w:rsid w:val="00017732"/>
    <w:rsid w:val="00020CE4"/>
    <w:rsid w:val="0002126D"/>
    <w:rsid w:val="000216D9"/>
    <w:rsid w:val="00021777"/>
    <w:rsid w:val="00022EBA"/>
    <w:rsid w:val="000237E4"/>
    <w:rsid w:val="00023944"/>
    <w:rsid w:val="00023CFA"/>
    <w:rsid w:val="0002408D"/>
    <w:rsid w:val="0002415E"/>
    <w:rsid w:val="00025116"/>
    <w:rsid w:val="00025535"/>
    <w:rsid w:val="00025BC6"/>
    <w:rsid w:val="0002600E"/>
    <w:rsid w:val="000261A3"/>
    <w:rsid w:val="00026514"/>
    <w:rsid w:val="000271F9"/>
    <w:rsid w:val="000272F0"/>
    <w:rsid w:val="0002735F"/>
    <w:rsid w:val="00027AED"/>
    <w:rsid w:val="00027D75"/>
    <w:rsid w:val="00027EA7"/>
    <w:rsid w:val="000304F1"/>
    <w:rsid w:val="000306CE"/>
    <w:rsid w:val="00030DE7"/>
    <w:rsid w:val="000313F7"/>
    <w:rsid w:val="0003145C"/>
    <w:rsid w:val="00031D01"/>
    <w:rsid w:val="00032281"/>
    <w:rsid w:val="000340D7"/>
    <w:rsid w:val="00034A3B"/>
    <w:rsid w:val="000364F4"/>
    <w:rsid w:val="000370C6"/>
    <w:rsid w:val="000373AD"/>
    <w:rsid w:val="0003782B"/>
    <w:rsid w:val="00040584"/>
    <w:rsid w:val="000405D8"/>
    <w:rsid w:val="00040741"/>
    <w:rsid w:val="00040A3A"/>
    <w:rsid w:val="00040D96"/>
    <w:rsid w:val="00041145"/>
    <w:rsid w:val="00041174"/>
    <w:rsid w:val="00041B08"/>
    <w:rsid w:val="00041FA6"/>
    <w:rsid w:val="0004239D"/>
    <w:rsid w:val="00042628"/>
    <w:rsid w:val="00042841"/>
    <w:rsid w:val="00042843"/>
    <w:rsid w:val="00042ABB"/>
    <w:rsid w:val="00042B73"/>
    <w:rsid w:val="00042E40"/>
    <w:rsid w:val="000431B8"/>
    <w:rsid w:val="0004345A"/>
    <w:rsid w:val="00043E87"/>
    <w:rsid w:val="0004406D"/>
    <w:rsid w:val="0004407F"/>
    <w:rsid w:val="000441D2"/>
    <w:rsid w:val="000444F2"/>
    <w:rsid w:val="00044C00"/>
    <w:rsid w:val="00044C13"/>
    <w:rsid w:val="00044C93"/>
    <w:rsid w:val="0004507A"/>
    <w:rsid w:val="000450CF"/>
    <w:rsid w:val="00046A44"/>
    <w:rsid w:val="00046AD8"/>
    <w:rsid w:val="00046E06"/>
    <w:rsid w:val="00046E41"/>
    <w:rsid w:val="000475C3"/>
    <w:rsid w:val="00047AF0"/>
    <w:rsid w:val="00050473"/>
    <w:rsid w:val="00050694"/>
    <w:rsid w:val="0005093F"/>
    <w:rsid w:val="000511B5"/>
    <w:rsid w:val="0005168A"/>
    <w:rsid w:val="00051B99"/>
    <w:rsid w:val="00052368"/>
    <w:rsid w:val="000529DE"/>
    <w:rsid w:val="00053117"/>
    <w:rsid w:val="000536EA"/>
    <w:rsid w:val="00053A12"/>
    <w:rsid w:val="000540E0"/>
    <w:rsid w:val="000546BF"/>
    <w:rsid w:val="00054872"/>
    <w:rsid w:val="00054E50"/>
    <w:rsid w:val="00054E54"/>
    <w:rsid w:val="000552BE"/>
    <w:rsid w:val="000560C4"/>
    <w:rsid w:val="00056627"/>
    <w:rsid w:val="00057C94"/>
    <w:rsid w:val="00061D28"/>
    <w:rsid w:val="00061D81"/>
    <w:rsid w:val="000625F0"/>
    <w:rsid w:val="00062BD5"/>
    <w:rsid w:val="00062E66"/>
    <w:rsid w:val="00063D32"/>
    <w:rsid w:val="00064490"/>
    <w:rsid w:val="0006449D"/>
    <w:rsid w:val="00064BF5"/>
    <w:rsid w:val="0006536C"/>
    <w:rsid w:val="0006541F"/>
    <w:rsid w:val="000673D5"/>
    <w:rsid w:val="000675DE"/>
    <w:rsid w:val="00067C45"/>
    <w:rsid w:val="00067E7E"/>
    <w:rsid w:val="00070789"/>
    <w:rsid w:val="000709E1"/>
    <w:rsid w:val="00070A36"/>
    <w:rsid w:val="00070CC4"/>
    <w:rsid w:val="00070DEA"/>
    <w:rsid w:val="00070F6B"/>
    <w:rsid w:val="00071242"/>
    <w:rsid w:val="000715FC"/>
    <w:rsid w:val="00071EE5"/>
    <w:rsid w:val="00072893"/>
    <w:rsid w:val="00072ABD"/>
    <w:rsid w:val="000746E8"/>
    <w:rsid w:val="000749DF"/>
    <w:rsid w:val="00075005"/>
    <w:rsid w:val="000754A8"/>
    <w:rsid w:val="00075F76"/>
    <w:rsid w:val="00076222"/>
    <w:rsid w:val="0007656C"/>
    <w:rsid w:val="00077340"/>
    <w:rsid w:val="00077432"/>
    <w:rsid w:val="000774C4"/>
    <w:rsid w:val="00077D18"/>
    <w:rsid w:val="00077DCE"/>
    <w:rsid w:val="0008060B"/>
    <w:rsid w:val="00080A86"/>
    <w:rsid w:val="00080D6E"/>
    <w:rsid w:val="00080D6F"/>
    <w:rsid w:val="000811D1"/>
    <w:rsid w:val="0008148E"/>
    <w:rsid w:val="00082330"/>
    <w:rsid w:val="000824CC"/>
    <w:rsid w:val="00082E8F"/>
    <w:rsid w:val="00082EA5"/>
    <w:rsid w:val="00082F8E"/>
    <w:rsid w:val="0008303A"/>
    <w:rsid w:val="000835E4"/>
    <w:rsid w:val="000836A7"/>
    <w:rsid w:val="000836FF"/>
    <w:rsid w:val="00083720"/>
    <w:rsid w:val="00083A5A"/>
    <w:rsid w:val="00083E44"/>
    <w:rsid w:val="00083E92"/>
    <w:rsid w:val="0008477D"/>
    <w:rsid w:val="00084A68"/>
    <w:rsid w:val="0008550D"/>
    <w:rsid w:val="00085E7A"/>
    <w:rsid w:val="0008675E"/>
    <w:rsid w:val="00087255"/>
    <w:rsid w:val="0008729F"/>
    <w:rsid w:val="00087568"/>
    <w:rsid w:val="00087699"/>
    <w:rsid w:val="00087943"/>
    <w:rsid w:val="00090134"/>
    <w:rsid w:val="0009079B"/>
    <w:rsid w:val="00090EA0"/>
    <w:rsid w:val="000911DA"/>
    <w:rsid w:val="000920ED"/>
    <w:rsid w:val="00092A95"/>
    <w:rsid w:val="00093343"/>
    <w:rsid w:val="0009353E"/>
    <w:rsid w:val="0009393F"/>
    <w:rsid w:val="00093C37"/>
    <w:rsid w:val="00094528"/>
    <w:rsid w:val="00095777"/>
    <w:rsid w:val="00095DD7"/>
    <w:rsid w:val="0009612A"/>
    <w:rsid w:val="000965FE"/>
    <w:rsid w:val="000968E0"/>
    <w:rsid w:val="00097208"/>
    <w:rsid w:val="00097310"/>
    <w:rsid w:val="00097476"/>
    <w:rsid w:val="000A0281"/>
    <w:rsid w:val="000A085B"/>
    <w:rsid w:val="000A0B74"/>
    <w:rsid w:val="000A0FBA"/>
    <w:rsid w:val="000A15BC"/>
    <w:rsid w:val="000A18FB"/>
    <w:rsid w:val="000A1DA0"/>
    <w:rsid w:val="000A22B6"/>
    <w:rsid w:val="000A2E6D"/>
    <w:rsid w:val="000A31A0"/>
    <w:rsid w:val="000A38C8"/>
    <w:rsid w:val="000A3CDB"/>
    <w:rsid w:val="000A4657"/>
    <w:rsid w:val="000A4EF3"/>
    <w:rsid w:val="000A58A8"/>
    <w:rsid w:val="000A5D62"/>
    <w:rsid w:val="000A5FB7"/>
    <w:rsid w:val="000A6092"/>
    <w:rsid w:val="000A720E"/>
    <w:rsid w:val="000A7217"/>
    <w:rsid w:val="000B01FD"/>
    <w:rsid w:val="000B02F3"/>
    <w:rsid w:val="000B0843"/>
    <w:rsid w:val="000B0933"/>
    <w:rsid w:val="000B09F1"/>
    <w:rsid w:val="000B0EA4"/>
    <w:rsid w:val="000B0FC3"/>
    <w:rsid w:val="000B1002"/>
    <w:rsid w:val="000B1161"/>
    <w:rsid w:val="000B11A2"/>
    <w:rsid w:val="000B2469"/>
    <w:rsid w:val="000B2C38"/>
    <w:rsid w:val="000B2F5E"/>
    <w:rsid w:val="000B3238"/>
    <w:rsid w:val="000B39FD"/>
    <w:rsid w:val="000B3D5D"/>
    <w:rsid w:val="000B404D"/>
    <w:rsid w:val="000B439E"/>
    <w:rsid w:val="000B4504"/>
    <w:rsid w:val="000B4509"/>
    <w:rsid w:val="000B4E4A"/>
    <w:rsid w:val="000B5000"/>
    <w:rsid w:val="000B53FC"/>
    <w:rsid w:val="000B550B"/>
    <w:rsid w:val="000B557E"/>
    <w:rsid w:val="000B6201"/>
    <w:rsid w:val="000B6644"/>
    <w:rsid w:val="000B6EEE"/>
    <w:rsid w:val="000B6FE5"/>
    <w:rsid w:val="000B7004"/>
    <w:rsid w:val="000B74E0"/>
    <w:rsid w:val="000B76C8"/>
    <w:rsid w:val="000B7A64"/>
    <w:rsid w:val="000C0088"/>
    <w:rsid w:val="000C04FE"/>
    <w:rsid w:val="000C0749"/>
    <w:rsid w:val="000C0E30"/>
    <w:rsid w:val="000C12F4"/>
    <w:rsid w:val="000C1B82"/>
    <w:rsid w:val="000C20B9"/>
    <w:rsid w:val="000C2693"/>
    <w:rsid w:val="000C2AF5"/>
    <w:rsid w:val="000C2C78"/>
    <w:rsid w:val="000C2C7F"/>
    <w:rsid w:val="000C4785"/>
    <w:rsid w:val="000C5209"/>
    <w:rsid w:val="000C562A"/>
    <w:rsid w:val="000C5B85"/>
    <w:rsid w:val="000C5F8C"/>
    <w:rsid w:val="000C6857"/>
    <w:rsid w:val="000C728D"/>
    <w:rsid w:val="000C785E"/>
    <w:rsid w:val="000D02BF"/>
    <w:rsid w:val="000D1C13"/>
    <w:rsid w:val="000D1D8C"/>
    <w:rsid w:val="000D2200"/>
    <w:rsid w:val="000D24DC"/>
    <w:rsid w:val="000D2541"/>
    <w:rsid w:val="000D3B76"/>
    <w:rsid w:val="000D4BD7"/>
    <w:rsid w:val="000D4FE4"/>
    <w:rsid w:val="000D5155"/>
    <w:rsid w:val="000D5AA8"/>
    <w:rsid w:val="000D60AF"/>
    <w:rsid w:val="000D6145"/>
    <w:rsid w:val="000D61D9"/>
    <w:rsid w:val="000D68AE"/>
    <w:rsid w:val="000D68E2"/>
    <w:rsid w:val="000D6D44"/>
    <w:rsid w:val="000D71C8"/>
    <w:rsid w:val="000D7333"/>
    <w:rsid w:val="000D7D4B"/>
    <w:rsid w:val="000E01B6"/>
    <w:rsid w:val="000E0440"/>
    <w:rsid w:val="000E0902"/>
    <w:rsid w:val="000E0CBC"/>
    <w:rsid w:val="000E0D68"/>
    <w:rsid w:val="000E2597"/>
    <w:rsid w:val="000E2670"/>
    <w:rsid w:val="000E2E92"/>
    <w:rsid w:val="000E2F1B"/>
    <w:rsid w:val="000E31BB"/>
    <w:rsid w:val="000E4DDB"/>
    <w:rsid w:val="000E4DE4"/>
    <w:rsid w:val="000E51D9"/>
    <w:rsid w:val="000E549C"/>
    <w:rsid w:val="000E64AE"/>
    <w:rsid w:val="000F03D8"/>
    <w:rsid w:val="000F0EF7"/>
    <w:rsid w:val="000F27EE"/>
    <w:rsid w:val="000F387D"/>
    <w:rsid w:val="000F3E32"/>
    <w:rsid w:val="000F441B"/>
    <w:rsid w:val="000F44EF"/>
    <w:rsid w:val="000F4938"/>
    <w:rsid w:val="000F4E54"/>
    <w:rsid w:val="000F503C"/>
    <w:rsid w:val="000F51AF"/>
    <w:rsid w:val="000F568D"/>
    <w:rsid w:val="000F5D09"/>
    <w:rsid w:val="000F61C9"/>
    <w:rsid w:val="000F654D"/>
    <w:rsid w:val="000F65CE"/>
    <w:rsid w:val="000F67FF"/>
    <w:rsid w:val="000F6F2D"/>
    <w:rsid w:val="000F6FC1"/>
    <w:rsid w:val="000F701F"/>
    <w:rsid w:val="000F7032"/>
    <w:rsid w:val="000F7A8C"/>
    <w:rsid w:val="000F7BC5"/>
    <w:rsid w:val="000F7C0B"/>
    <w:rsid w:val="000F7C81"/>
    <w:rsid w:val="0010036B"/>
    <w:rsid w:val="0010064E"/>
    <w:rsid w:val="001006A5"/>
    <w:rsid w:val="001009E4"/>
    <w:rsid w:val="00100A05"/>
    <w:rsid w:val="001015E8"/>
    <w:rsid w:val="001016BA"/>
    <w:rsid w:val="001031DB"/>
    <w:rsid w:val="001034FA"/>
    <w:rsid w:val="00103FE6"/>
    <w:rsid w:val="00104776"/>
    <w:rsid w:val="00104878"/>
    <w:rsid w:val="001055AF"/>
    <w:rsid w:val="00105628"/>
    <w:rsid w:val="00107292"/>
    <w:rsid w:val="001079E7"/>
    <w:rsid w:val="00107A04"/>
    <w:rsid w:val="001107A8"/>
    <w:rsid w:val="001107AA"/>
    <w:rsid w:val="00110D9C"/>
    <w:rsid w:val="0011125A"/>
    <w:rsid w:val="001113C8"/>
    <w:rsid w:val="00111625"/>
    <w:rsid w:val="00111671"/>
    <w:rsid w:val="001117EF"/>
    <w:rsid w:val="00111843"/>
    <w:rsid w:val="00111C01"/>
    <w:rsid w:val="00111E4A"/>
    <w:rsid w:val="00111F69"/>
    <w:rsid w:val="00112001"/>
    <w:rsid w:val="0011257E"/>
    <w:rsid w:val="00112C40"/>
    <w:rsid w:val="00112FBE"/>
    <w:rsid w:val="0011331E"/>
    <w:rsid w:val="00113707"/>
    <w:rsid w:val="00114032"/>
    <w:rsid w:val="0011418C"/>
    <w:rsid w:val="00114256"/>
    <w:rsid w:val="0011489C"/>
    <w:rsid w:val="00114F3E"/>
    <w:rsid w:val="00114FD2"/>
    <w:rsid w:val="0011523E"/>
    <w:rsid w:val="001152BF"/>
    <w:rsid w:val="00115B16"/>
    <w:rsid w:val="00115C25"/>
    <w:rsid w:val="00116085"/>
    <w:rsid w:val="001162F8"/>
    <w:rsid w:val="001163D6"/>
    <w:rsid w:val="00116E38"/>
    <w:rsid w:val="001170D1"/>
    <w:rsid w:val="00117438"/>
    <w:rsid w:val="00117683"/>
    <w:rsid w:val="00117E2D"/>
    <w:rsid w:val="00120454"/>
    <w:rsid w:val="0012052F"/>
    <w:rsid w:val="001209E0"/>
    <w:rsid w:val="00120A77"/>
    <w:rsid w:val="00120AAB"/>
    <w:rsid w:val="0012191E"/>
    <w:rsid w:val="00122C00"/>
    <w:rsid w:val="0012380C"/>
    <w:rsid w:val="00123936"/>
    <w:rsid w:val="00124502"/>
    <w:rsid w:val="0012489E"/>
    <w:rsid w:val="001259BD"/>
    <w:rsid w:val="00126185"/>
    <w:rsid w:val="001262DF"/>
    <w:rsid w:val="00126478"/>
    <w:rsid w:val="0012721C"/>
    <w:rsid w:val="00127B9A"/>
    <w:rsid w:val="001302B8"/>
    <w:rsid w:val="00130791"/>
    <w:rsid w:val="00130B55"/>
    <w:rsid w:val="00130E4A"/>
    <w:rsid w:val="0013177E"/>
    <w:rsid w:val="00133394"/>
    <w:rsid w:val="00133A4E"/>
    <w:rsid w:val="00134168"/>
    <w:rsid w:val="00135638"/>
    <w:rsid w:val="001359CC"/>
    <w:rsid w:val="00135BEE"/>
    <w:rsid w:val="001362E1"/>
    <w:rsid w:val="00136A25"/>
    <w:rsid w:val="00136FB1"/>
    <w:rsid w:val="00140310"/>
    <w:rsid w:val="00140882"/>
    <w:rsid w:val="00140931"/>
    <w:rsid w:val="001412DC"/>
    <w:rsid w:val="001419FA"/>
    <w:rsid w:val="0014217F"/>
    <w:rsid w:val="00142360"/>
    <w:rsid w:val="00142717"/>
    <w:rsid w:val="00142A05"/>
    <w:rsid w:val="00142DA1"/>
    <w:rsid w:val="00143281"/>
    <w:rsid w:val="0014387A"/>
    <w:rsid w:val="0014434E"/>
    <w:rsid w:val="00144AD4"/>
    <w:rsid w:val="00144E6C"/>
    <w:rsid w:val="00145DB9"/>
    <w:rsid w:val="00145EBE"/>
    <w:rsid w:val="001461A4"/>
    <w:rsid w:val="00146C7D"/>
    <w:rsid w:val="0014748E"/>
    <w:rsid w:val="0014765A"/>
    <w:rsid w:val="00147ABB"/>
    <w:rsid w:val="00150805"/>
    <w:rsid w:val="00150A35"/>
    <w:rsid w:val="00150EAD"/>
    <w:rsid w:val="001512A4"/>
    <w:rsid w:val="001512D8"/>
    <w:rsid w:val="001515BA"/>
    <w:rsid w:val="00151D7F"/>
    <w:rsid w:val="00152082"/>
    <w:rsid w:val="00152199"/>
    <w:rsid w:val="0015263B"/>
    <w:rsid w:val="0015289E"/>
    <w:rsid w:val="0015427D"/>
    <w:rsid w:val="001563A8"/>
    <w:rsid w:val="00156A3E"/>
    <w:rsid w:val="00156B0A"/>
    <w:rsid w:val="00156B0B"/>
    <w:rsid w:val="00156C05"/>
    <w:rsid w:val="00156C14"/>
    <w:rsid w:val="00156FDD"/>
    <w:rsid w:val="00157BD0"/>
    <w:rsid w:val="00157F7F"/>
    <w:rsid w:val="00163D6B"/>
    <w:rsid w:val="00163F58"/>
    <w:rsid w:val="001641A4"/>
    <w:rsid w:val="001644D7"/>
    <w:rsid w:val="001646CA"/>
    <w:rsid w:val="001652D1"/>
    <w:rsid w:val="0016567B"/>
    <w:rsid w:val="00165AA9"/>
    <w:rsid w:val="00166490"/>
    <w:rsid w:val="001664E9"/>
    <w:rsid w:val="00166A43"/>
    <w:rsid w:val="00167241"/>
    <w:rsid w:val="00167830"/>
    <w:rsid w:val="00167C33"/>
    <w:rsid w:val="001711B9"/>
    <w:rsid w:val="00171201"/>
    <w:rsid w:val="00171264"/>
    <w:rsid w:val="00171530"/>
    <w:rsid w:val="00171694"/>
    <w:rsid w:val="00171EA7"/>
    <w:rsid w:val="00171ED9"/>
    <w:rsid w:val="00173936"/>
    <w:rsid w:val="00173ED8"/>
    <w:rsid w:val="00174E49"/>
    <w:rsid w:val="001752B2"/>
    <w:rsid w:val="0017567C"/>
    <w:rsid w:val="001758BA"/>
    <w:rsid w:val="00175961"/>
    <w:rsid w:val="00175BE0"/>
    <w:rsid w:val="00175CC1"/>
    <w:rsid w:val="00175D94"/>
    <w:rsid w:val="00176172"/>
    <w:rsid w:val="0017636D"/>
    <w:rsid w:val="001766A9"/>
    <w:rsid w:val="00176808"/>
    <w:rsid w:val="001771A1"/>
    <w:rsid w:val="0017790E"/>
    <w:rsid w:val="00180672"/>
    <w:rsid w:val="00180CDF"/>
    <w:rsid w:val="00180D92"/>
    <w:rsid w:val="00181FD8"/>
    <w:rsid w:val="0018263F"/>
    <w:rsid w:val="00182728"/>
    <w:rsid w:val="0018277E"/>
    <w:rsid w:val="00182B32"/>
    <w:rsid w:val="00182BE6"/>
    <w:rsid w:val="00183D4C"/>
    <w:rsid w:val="001848D5"/>
    <w:rsid w:val="00185240"/>
    <w:rsid w:val="00185323"/>
    <w:rsid w:val="0018561F"/>
    <w:rsid w:val="00186761"/>
    <w:rsid w:val="001872F3"/>
    <w:rsid w:val="00187451"/>
    <w:rsid w:val="00190465"/>
    <w:rsid w:val="00190B7C"/>
    <w:rsid w:val="00190C33"/>
    <w:rsid w:val="00191297"/>
    <w:rsid w:val="0019179B"/>
    <w:rsid w:val="00192391"/>
    <w:rsid w:val="001925C3"/>
    <w:rsid w:val="001930C4"/>
    <w:rsid w:val="0019373C"/>
    <w:rsid w:val="00193EAE"/>
    <w:rsid w:val="00194037"/>
    <w:rsid w:val="001941EB"/>
    <w:rsid w:val="001947F1"/>
    <w:rsid w:val="001957ED"/>
    <w:rsid w:val="001957FE"/>
    <w:rsid w:val="00195A5D"/>
    <w:rsid w:val="00195B24"/>
    <w:rsid w:val="00195E8E"/>
    <w:rsid w:val="0019649D"/>
    <w:rsid w:val="001964E9"/>
    <w:rsid w:val="00197457"/>
    <w:rsid w:val="00197810"/>
    <w:rsid w:val="00197B86"/>
    <w:rsid w:val="001A00A6"/>
    <w:rsid w:val="001A02CD"/>
    <w:rsid w:val="001A03AC"/>
    <w:rsid w:val="001A0679"/>
    <w:rsid w:val="001A071C"/>
    <w:rsid w:val="001A07A5"/>
    <w:rsid w:val="001A0CE7"/>
    <w:rsid w:val="001A126C"/>
    <w:rsid w:val="001A1617"/>
    <w:rsid w:val="001A1856"/>
    <w:rsid w:val="001A190F"/>
    <w:rsid w:val="001A1EAD"/>
    <w:rsid w:val="001A1F0C"/>
    <w:rsid w:val="001A2067"/>
    <w:rsid w:val="001A2420"/>
    <w:rsid w:val="001A276C"/>
    <w:rsid w:val="001A2CC2"/>
    <w:rsid w:val="001A3976"/>
    <w:rsid w:val="001A3B95"/>
    <w:rsid w:val="001A3EAD"/>
    <w:rsid w:val="001A4F09"/>
    <w:rsid w:val="001A5120"/>
    <w:rsid w:val="001A5286"/>
    <w:rsid w:val="001A536C"/>
    <w:rsid w:val="001A5BC4"/>
    <w:rsid w:val="001A5E9B"/>
    <w:rsid w:val="001A6094"/>
    <w:rsid w:val="001A6CE7"/>
    <w:rsid w:val="001A7AE6"/>
    <w:rsid w:val="001A7B2D"/>
    <w:rsid w:val="001A7C5E"/>
    <w:rsid w:val="001A7CEF"/>
    <w:rsid w:val="001B09E9"/>
    <w:rsid w:val="001B14F6"/>
    <w:rsid w:val="001B16E5"/>
    <w:rsid w:val="001B1E6A"/>
    <w:rsid w:val="001B2018"/>
    <w:rsid w:val="001B2365"/>
    <w:rsid w:val="001B2417"/>
    <w:rsid w:val="001B252D"/>
    <w:rsid w:val="001B340F"/>
    <w:rsid w:val="001B37F6"/>
    <w:rsid w:val="001B3E7A"/>
    <w:rsid w:val="001B3F3C"/>
    <w:rsid w:val="001B4CE4"/>
    <w:rsid w:val="001B4DA5"/>
    <w:rsid w:val="001B4E2B"/>
    <w:rsid w:val="001B577A"/>
    <w:rsid w:val="001B5FD2"/>
    <w:rsid w:val="001B6020"/>
    <w:rsid w:val="001B64F4"/>
    <w:rsid w:val="001B6E10"/>
    <w:rsid w:val="001B6F87"/>
    <w:rsid w:val="001B7395"/>
    <w:rsid w:val="001B79F7"/>
    <w:rsid w:val="001B7ED6"/>
    <w:rsid w:val="001C0633"/>
    <w:rsid w:val="001C091D"/>
    <w:rsid w:val="001C1704"/>
    <w:rsid w:val="001C1B31"/>
    <w:rsid w:val="001C1BA3"/>
    <w:rsid w:val="001C1CA4"/>
    <w:rsid w:val="001C2068"/>
    <w:rsid w:val="001C259A"/>
    <w:rsid w:val="001C2BDA"/>
    <w:rsid w:val="001C32FD"/>
    <w:rsid w:val="001C3BAD"/>
    <w:rsid w:val="001C3D33"/>
    <w:rsid w:val="001C3E17"/>
    <w:rsid w:val="001C41A9"/>
    <w:rsid w:val="001C49A4"/>
    <w:rsid w:val="001C4AF1"/>
    <w:rsid w:val="001C5113"/>
    <w:rsid w:val="001C52C9"/>
    <w:rsid w:val="001C56EE"/>
    <w:rsid w:val="001C62EF"/>
    <w:rsid w:val="001C78F8"/>
    <w:rsid w:val="001C7F1B"/>
    <w:rsid w:val="001D02B7"/>
    <w:rsid w:val="001D02C3"/>
    <w:rsid w:val="001D09B9"/>
    <w:rsid w:val="001D14B3"/>
    <w:rsid w:val="001D15BC"/>
    <w:rsid w:val="001D1C59"/>
    <w:rsid w:val="001D267D"/>
    <w:rsid w:val="001D2BE4"/>
    <w:rsid w:val="001D2F6F"/>
    <w:rsid w:val="001D34C4"/>
    <w:rsid w:val="001D361F"/>
    <w:rsid w:val="001D3778"/>
    <w:rsid w:val="001D386C"/>
    <w:rsid w:val="001D3B20"/>
    <w:rsid w:val="001D3D11"/>
    <w:rsid w:val="001D40F2"/>
    <w:rsid w:val="001D424E"/>
    <w:rsid w:val="001D49A8"/>
    <w:rsid w:val="001D49AA"/>
    <w:rsid w:val="001D5095"/>
    <w:rsid w:val="001D6739"/>
    <w:rsid w:val="001D6AD0"/>
    <w:rsid w:val="001D6B42"/>
    <w:rsid w:val="001D6D77"/>
    <w:rsid w:val="001D7560"/>
    <w:rsid w:val="001D7B5F"/>
    <w:rsid w:val="001E02D2"/>
    <w:rsid w:val="001E02F1"/>
    <w:rsid w:val="001E043F"/>
    <w:rsid w:val="001E07C3"/>
    <w:rsid w:val="001E11EC"/>
    <w:rsid w:val="001E1462"/>
    <w:rsid w:val="001E163F"/>
    <w:rsid w:val="001E1CA0"/>
    <w:rsid w:val="001E2257"/>
    <w:rsid w:val="001E2661"/>
    <w:rsid w:val="001E2EE8"/>
    <w:rsid w:val="001E346C"/>
    <w:rsid w:val="001E3E78"/>
    <w:rsid w:val="001E3F46"/>
    <w:rsid w:val="001E47A9"/>
    <w:rsid w:val="001E4CFA"/>
    <w:rsid w:val="001E4F73"/>
    <w:rsid w:val="001E51BB"/>
    <w:rsid w:val="001E5467"/>
    <w:rsid w:val="001E5628"/>
    <w:rsid w:val="001E5695"/>
    <w:rsid w:val="001E6C7A"/>
    <w:rsid w:val="001E70D6"/>
    <w:rsid w:val="001F04E8"/>
    <w:rsid w:val="001F0E85"/>
    <w:rsid w:val="001F12F4"/>
    <w:rsid w:val="001F1DA9"/>
    <w:rsid w:val="001F27D5"/>
    <w:rsid w:val="001F281A"/>
    <w:rsid w:val="001F2D14"/>
    <w:rsid w:val="001F3011"/>
    <w:rsid w:val="001F32D3"/>
    <w:rsid w:val="001F3872"/>
    <w:rsid w:val="001F3FBE"/>
    <w:rsid w:val="001F3FC1"/>
    <w:rsid w:val="001F4405"/>
    <w:rsid w:val="001F4D96"/>
    <w:rsid w:val="001F4E34"/>
    <w:rsid w:val="001F50B1"/>
    <w:rsid w:val="001F53ED"/>
    <w:rsid w:val="001F56BD"/>
    <w:rsid w:val="001F632D"/>
    <w:rsid w:val="001F668D"/>
    <w:rsid w:val="001F6847"/>
    <w:rsid w:val="001F6BDE"/>
    <w:rsid w:val="001F6C95"/>
    <w:rsid w:val="001F724A"/>
    <w:rsid w:val="001F72D0"/>
    <w:rsid w:val="001F776D"/>
    <w:rsid w:val="001F785F"/>
    <w:rsid w:val="001F7E35"/>
    <w:rsid w:val="001F7FC0"/>
    <w:rsid w:val="002015F4"/>
    <w:rsid w:val="002018A3"/>
    <w:rsid w:val="00201CE0"/>
    <w:rsid w:val="0020207F"/>
    <w:rsid w:val="0020249C"/>
    <w:rsid w:val="00202B5A"/>
    <w:rsid w:val="00202D76"/>
    <w:rsid w:val="00203EF1"/>
    <w:rsid w:val="00204C0E"/>
    <w:rsid w:val="00204DA4"/>
    <w:rsid w:val="00204E69"/>
    <w:rsid w:val="002054EE"/>
    <w:rsid w:val="00205D3B"/>
    <w:rsid w:val="00205DAD"/>
    <w:rsid w:val="00206417"/>
    <w:rsid w:val="002075AC"/>
    <w:rsid w:val="00207998"/>
    <w:rsid w:val="00207B4D"/>
    <w:rsid w:val="002100CD"/>
    <w:rsid w:val="00210A31"/>
    <w:rsid w:val="00210C01"/>
    <w:rsid w:val="002113DD"/>
    <w:rsid w:val="00211586"/>
    <w:rsid w:val="00211923"/>
    <w:rsid w:val="00212443"/>
    <w:rsid w:val="002126B6"/>
    <w:rsid w:val="00212B25"/>
    <w:rsid w:val="00212F1E"/>
    <w:rsid w:val="00212F52"/>
    <w:rsid w:val="00213D8D"/>
    <w:rsid w:val="0021464B"/>
    <w:rsid w:val="00214B81"/>
    <w:rsid w:val="002161E3"/>
    <w:rsid w:val="00216BC7"/>
    <w:rsid w:val="002172AC"/>
    <w:rsid w:val="00217398"/>
    <w:rsid w:val="002178CB"/>
    <w:rsid w:val="00217943"/>
    <w:rsid w:val="0022034C"/>
    <w:rsid w:val="002203C2"/>
    <w:rsid w:val="00220891"/>
    <w:rsid w:val="00220D7D"/>
    <w:rsid w:val="00221F05"/>
    <w:rsid w:val="00222230"/>
    <w:rsid w:val="00222525"/>
    <w:rsid w:val="00222535"/>
    <w:rsid w:val="002225BF"/>
    <w:rsid w:val="002229CF"/>
    <w:rsid w:val="00223815"/>
    <w:rsid w:val="0022408A"/>
    <w:rsid w:val="002240B7"/>
    <w:rsid w:val="002240E4"/>
    <w:rsid w:val="002241EA"/>
    <w:rsid w:val="002243BA"/>
    <w:rsid w:val="00224559"/>
    <w:rsid w:val="00224A46"/>
    <w:rsid w:val="00225351"/>
    <w:rsid w:val="00225637"/>
    <w:rsid w:val="00225E26"/>
    <w:rsid w:val="00226000"/>
    <w:rsid w:val="0022749E"/>
    <w:rsid w:val="00227A42"/>
    <w:rsid w:val="00230182"/>
    <w:rsid w:val="00230347"/>
    <w:rsid w:val="00230457"/>
    <w:rsid w:val="00230B79"/>
    <w:rsid w:val="002311E6"/>
    <w:rsid w:val="00231473"/>
    <w:rsid w:val="00231525"/>
    <w:rsid w:val="00231F57"/>
    <w:rsid w:val="00232B4B"/>
    <w:rsid w:val="00234122"/>
    <w:rsid w:val="002346B0"/>
    <w:rsid w:val="002348D7"/>
    <w:rsid w:val="00234D1A"/>
    <w:rsid w:val="002354DF"/>
    <w:rsid w:val="002355C3"/>
    <w:rsid w:val="00236E28"/>
    <w:rsid w:val="002370B2"/>
    <w:rsid w:val="00237762"/>
    <w:rsid w:val="00237852"/>
    <w:rsid w:val="00237901"/>
    <w:rsid w:val="00237A0F"/>
    <w:rsid w:val="0024018F"/>
    <w:rsid w:val="00240915"/>
    <w:rsid w:val="00240FF3"/>
    <w:rsid w:val="00241852"/>
    <w:rsid w:val="00243C64"/>
    <w:rsid w:val="00243DC7"/>
    <w:rsid w:val="00243FE9"/>
    <w:rsid w:val="002440DD"/>
    <w:rsid w:val="00244224"/>
    <w:rsid w:val="0024426C"/>
    <w:rsid w:val="0024513C"/>
    <w:rsid w:val="002453AA"/>
    <w:rsid w:val="002455BA"/>
    <w:rsid w:val="00245A53"/>
    <w:rsid w:val="00245DBA"/>
    <w:rsid w:val="00245ECC"/>
    <w:rsid w:val="002462A7"/>
    <w:rsid w:val="0024639D"/>
    <w:rsid w:val="002465FC"/>
    <w:rsid w:val="00246867"/>
    <w:rsid w:val="00246A1E"/>
    <w:rsid w:val="00246B49"/>
    <w:rsid w:val="0024766C"/>
    <w:rsid w:val="002479ED"/>
    <w:rsid w:val="00247AEB"/>
    <w:rsid w:val="00247C4E"/>
    <w:rsid w:val="002504EF"/>
    <w:rsid w:val="0025152F"/>
    <w:rsid w:val="00251662"/>
    <w:rsid w:val="00251753"/>
    <w:rsid w:val="00251828"/>
    <w:rsid w:val="00251B09"/>
    <w:rsid w:val="00252324"/>
    <w:rsid w:val="0025233A"/>
    <w:rsid w:val="00252368"/>
    <w:rsid w:val="0025256E"/>
    <w:rsid w:val="00252583"/>
    <w:rsid w:val="00252ED2"/>
    <w:rsid w:val="00252F57"/>
    <w:rsid w:val="00252F68"/>
    <w:rsid w:val="00253273"/>
    <w:rsid w:val="00253697"/>
    <w:rsid w:val="002537FA"/>
    <w:rsid w:val="00253954"/>
    <w:rsid w:val="00253D6B"/>
    <w:rsid w:val="00253ED7"/>
    <w:rsid w:val="00253F0F"/>
    <w:rsid w:val="00253F24"/>
    <w:rsid w:val="00254081"/>
    <w:rsid w:val="002549CF"/>
    <w:rsid w:val="00255AEB"/>
    <w:rsid w:val="00255FD0"/>
    <w:rsid w:val="00256281"/>
    <w:rsid w:val="002567E1"/>
    <w:rsid w:val="0025690E"/>
    <w:rsid w:val="00256A50"/>
    <w:rsid w:val="0025777D"/>
    <w:rsid w:val="00257BCE"/>
    <w:rsid w:val="00257DF9"/>
    <w:rsid w:val="002604BE"/>
    <w:rsid w:val="00260667"/>
    <w:rsid w:val="0026074C"/>
    <w:rsid w:val="00260A7A"/>
    <w:rsid w:val="00260AE6"/>
    <w:rsid w:val="002615B9"/>
    <w:rsid w:val="00261C3D"/>
    <w:rsid w:val="002626BB"/>
    <w:rsid w:val="0026270C"/>
    <w:rsid w:val="002627E8"/>
    <w:rsid w:val="00263E45"/>
    <w:rsid w:val="002646C3"/>
    <w:rsid w:val="0026474C"/>
    <w:rsid w:val="00264EDD"/>
    <w:rsid w:val="00265671"/>
    <w:rsid w:val="00265FB7"/>
    <w:rsid w:val="0026612F"/>
    <w:rsid w:val="002665C7"/>
    <w:rsid w:val="0026720F"/>
    <w:rsid w:val="00267446"/>
    <w:rsid w:val="0026783A"/>
    <w:rsid w:val="00267B54"/>
    <w:rsid w:val="0027027C"/>
    <w:rsid w:val="00270911"/>
    <w:rsid w:val="002714F5"/>
    <w:rsid w:val="00271617"/>
    <w:rsid w:val="00271A63"/>
    <w:rsid w:val="00271FC7"/>
    <w:rsid w:val="002722A8"/>
    <w:rsid w:val="00272725"/>
    <w:rsid w:val="002728FC"/>
    <w:rsid w:val="00272DB7"/>
    <w:rsid w:val="00272E94"/>
    <w:rsid w:val="00273497"/>
    <w:rsid w:val="00273A5C"/>
    <w:rsid w:val="0027473E"/>
    <w:rsid w:val="0027478F"/>
    <w:rsid w:val="00274E04"/>
    <w:rsid w:val="00275368"/>
    <w:rsid w:val="00275741"/>
    <w:rsid w:val="00275BB4"/>
    <w:rsid w:val="00275CFD"/>
    <w:rsid w:val="00275D50"/>
    <w:rsid w:val="0027643F"/>
    <w:rsid w:val="002804DE"/>
    <w:rsid w:val="002805A9"/>
    <w:rsid w:val="002807B4"/>
    <w:rsid w:val="002807C4"/>
    <w:rsid w:val="002807C8"/>
    <w:rsid w:val="00280DED"/>
    <w:rsid w:val="00280F68"/>
    <w:rsid w:val="002815E5"/>
    <w:rsid w:val="0028185D"/>
    <w:rsid w:val="00281EB2"/>
    <w:rsid w:val="002822B0"/>
    <w:rsid w:val="002832FD"/>
    <w:rsid w:val="0028330F"/>
    <w:rsid w:val="002836F0"/>
    <w:rsid w:val="002850B3"/>
    <w:rsid w:val="00285605"/>
    <w:rsid w:val="00285C7D"/>
    <w:rsid w:val="00285E46"/>
    <w:rsid w:val="00285FE7"/>
    <w:rsid w:val="002860A3"/>
    <w:rsid w:val="00287BD4"/>
    <w:rsid w:val="00287F6C"/>
    <w:rsid w:val="0029004F"/>
    <w:rsid w:val="00290313"/>
    <w:rsid w:val="00291259"/>
    <w:rsid w:val="002913C1"/>
    <w:rsid w:val="002915C7"/>
    <w:rsid w:val="00291C41"/>
    <w:rsid w:val="00292208"/>
    <w:rsid w:val="002928F9"/>
    <w:rsid w:val="00292B8B"/>
    <w:rsid w:val="002930E9"/>
    <w:rsid w:val="00293136"/>
    <w:rsid w:val="0029325C"/>
    <w:rsid w:val="002933E4"/>
    <w:rsid w:val="002934FB"/>
    <w:rsid w:val="0029350F"/>
    <w:rsid w:val="00293A56"/>
    <w:rsid w:val="00293D13"/>
    <w:rsid w:val="00294258"/>
    <w:rsid w:val="002948DA"/>
    <w:rsid w:val="0029499A"/>
    <w:rsid w:val="002952CF"/>
    <w:rsid w:val="0029550C"/>
    <w:rsid w:val="00295BD0"/>
    <w:rsid w:val="002962BD"/>
    <w:rsid w:val="002965B6"/>
    <w:rsid w:val="002976DA"/>
    <w:rsid w:val="00297D99"/>
    <w:rsid w:val="00297FB3"/>
    <w:rsid w:val="002A0430"/>
    <w:rsid w:val="002A0934"/>
    <w:rsid w:val="002A0A2D"/>
    <w:rsid w:val="002A19DD"/>
    <w:rsid w:val="002A1A7A"/>
    <w:rsid w:val="002A1FC5"/>
    <w:rsid w:val="002A224B"/>
    <w:rsid w:val="002A2392"/>
    <w:rsid w:val="002A3131"/>
    <w:rsid w:val="002A37FC"/>
    <w:rsid w:val="002A4E1B"/>
    <w:rsid w:val="002A5547"/>
    <w:rsid w:val="002A5988"/>
    <w:rsid w:val="002A5FD9"/>
    <w:rsid w:val="002A608D"/>
    <w:rsid w:val="002A6BB1"/>
    <w:rsid w:val="002A6CBE"/>
    <w:rsid w:val="002A6FDE"/>
    <w:rsid w:val="002A71BD"/>
    <w:rsid w:val="002A7205"/>
    <w:rsid w:val="002A75B8"/>
    <w:rsid w:val="002A78A8"/>
    <w:rsid w:val="002B0283"/>
    <w:rsid w:val="002B0E9A"/>
    <w:rsid w:val="002B10C8"/>
    <w:rsid w:val="002B1BA4"/>
    <w:rsid w:val="002B1D64"/>
    <w:rsid w:val="002B26D5"/>
    <w:rsid w:val="002B2C5B"/>
    <w:rsid w:val="002B371F"/>
    <w:rsid w:val="002B3E5F"/>
    <w:rsid w:val="002B44E9"/>
    <w:rsid w:val="002B476A"/>
    <w:rsid w:val="002B4CEA"/>
    <w:rsid w:val="002B5233"/>
    <w:rsid w:val="002B55D8"/>
    <w:rsid w:val="002B59A1"/>
    <w:rsid w:val="002B63EA"/>
    <w:rsid w:val="002B6EDD"/>
    <w:rsid w:val="002B6F15"/>
    <w:rsid w:val="002B702C"/>
    <w:rsid w:val="002C097C"/>
    <w:rsid w:val="002C1680"/>
    <w:rsid w:val="002C1866"/>
    <w:rsid w:val="002C1993"/>
    <w:rsid w:val="002C27BF"/>
    <w:rsid w:val="002C3A2C"/>
    <w:rsid w:val="002C3D01"/>
    <w:rsid w:val="002C4A29"/>
    <w:rsid w:val="002C520C"/>
    <w:rsid w:val="002C52AE"/>
    <w:rsid w:val="002C5B74"/>
    <w:rsid w:val="002C5E75"/>
    <w:rsid w:val="002C6058"/>
    <w:rsid w:val="002C7B45"/>
    <w:rsid w:val="002C7CF5"/>
    <w:rsid w:val="002C7E35"/>
    <w:rsid w:val="002C7F49"/>
    <w:rsid w:val="002D023F"/>
    <w:rsid w:val="002D09CA"/>
    <w:rsid w:val="002D0ABC"/>
    <w:rsid w:val="002D19A2"/>
    <w:rsid w:val="002D1A22"/>
    <w:rsid w:val="002D249D"/>
    <w:rsid w:val="002D2970"/>
    <w:rsid w:val="002D2C4C"/>
    <w:rsid w:val="002D2E71"/>
    <w:rsid w:val="002D300D"/>
    <w:rsid w:val="002D3205"/>
    <w:rsid w:val="002D3504"/>
    <w:rsid w:val="002D445D"/>
    <w:rsid w:val="002D46CC"/>
    <w:rsid w:val="002D4A16"/>
    <w:rsid w:val="002D4A2E"/>
    <w:rsid w:val="002D53AE"/>
    <w:rsid w:val="002D5551"/>
    <w:rsid w:val="002D57E6"/>
    <w:rsid w:val="002D5B6C"/>
    <w:rsid w:val="002D5DA7"/>
    <w:rsid w:val="002D6DCB"/>
    <w:rsid w:val="002D7093"/>
    <w:rsid w:val="002D7B9E"/>
    <w:rsid w:val="002D7C63"/>
    <w:rsid w:val="002D7FB9"/>
    <w:rsid w:val="002E0195"/>
    <w:rsid w:val="002E0FFA"/>
    <w:rsid w:val="002E1075"/>
    <w:rsid w:val="002E1445"/>
    <w:rsid w:val="002E1A9B"/>
    <w:rsid w:val="002E2046"/>
    <w:rsid w:val="002E2134"/>
    <w:rsid w:val="002E22CA"/>
    <w:rsid w:val="002E25AE"/>
    <w:rsid w:val="002E2BB6"/>
    <w:rsid w:val="002E2E19"/>
    <w:rsid w:val="002E2E32"/>
    <w:rsid w:val="002E36D8"/>
    <w:rsid w:val="002E3BB3"/>
    <w:rsid w:val="002E4448"/>
    <w:rsid w:val="002E5033"/>
    <w:rsid w:val="002E5258"/>
    <w:rsid w:val="002E551C"/>
    <w:rsid w:val="002E58A0"/>
    <w:rsid w:val="002E654A"/>
    <w:rsid w:val="002E67A6"/>
    <w:rsid w:val="002E67FF"/>
    <w:rsid w:val="002E69DB"/>
    <w:rsid w:val="002E6A5B"/>
    <w:rsid w:val="002E7CC5"/>
    <w:rsid w:val="002E7FCA"/>
    <w:rsid w:val="002F0A39"/>
    <w:rsid w:val="002F0A4E"/>
    <w:rsid w:val="002F0D3F"/>
    <w:rsid w:val="002F0FBC"/>
    <w:rsid w:val="002F1162"/>
    <w:rsid w:val="002F295A"/>
    <w:rsid w:val="002F2DD2"/>
    <w:rsid w:val="002F2F63"/>
    <w:rsid w:val="002F33BB"/>
    <w:rsid w:val="002F3436"/>
    <w:rsid w:val="002F364A"/>
    <w:rsid w:val="002F3A6A"/>
    <w:rsid w:val="002F3A6F"/>
    <w:rsid w:val="002F3C1B"/>
    <w:rsid w:val="002F3C82"/>
    <w:rsid w:val="002F4774"/>
    <w:rsid w:val="002F4785"/>
    <w:rsid w:val="002F4ADF"/>
    <w:rsid w:val="002F5106"/>
    <w:rsid w:val="002F5132"/>
    <w:rsid w:val="002F5BFE"/>
    <w:rsid w:val="002F5EB0"/>
    <w:rsid w:val="002F5F45"/>
    <w:rsid w:val="002F7C18"/>
    <w:rsid w:val="002F7F5F"/>
    <w:rsid w:val="003005CA"/>
    <w:rsid w:val="0030090B"/>
    <w:rsid w:val="0030097B"/>
    <w:rsid w:val="00300AD8"/>
    <w:rsid w:val="00300E79"/>
    <w:rsid w:val="00301174"/>
    <w:rsid w:val="003014A6"/>
    <w:rsid w:val="00301AF8"/>
    <w:rsid w:val="003028F2"/>
    <w:rsid w:val="00302B26"/>
    <w:rsid w:val="00302E44"/>
    <w:rsid w:val="0030451B"/>
    <w:rsid w:val="003051C4"/>
    <w:rsid w:val="00305BE9"/>
    <w:rsid w:val="00307588"/>
    <w:rsid w:val="0030780A"/>
    <w:rsid w:val="00307F39"/>
    <w:rsid w:val="00307F75"/>
    <w:rsid w:val="0031000F"/>
    <w:rsid w:val="003107A6"/>
    <w:rsid w:val="00310BE4"/>
    <w:rsid w:val="00311088"/>
    <w:rsid w:val="003115B8"/>
    <w:rsid w:val="00311A87"/>
    <w:rsid w:val="00311AAD"/>
    <w:rsid w:val="00312071"/>
    <w:rsid w:val="003120E1"/>
    <w:rsid w:val="00312512"/>
    <w:rsid w:val="00312613"/>
    <w:rsid w:val="00312782"/>
    <w:rsid w:val="00312C53"/>
    <w:rsid w:val="00313125"/>
    <w:rsid w:val="003133B7"/>
    <w:rsid w:val="003141DA"/>
    <w:rsid w:val="003141E1"/>
    <w:rsid w:val="003157CE"/>
    <w:rsid w:val="00315D11"/>
    <w:rsid w:val="003162F1"/>
    <w:rsid w:val="00316521"/>
    <w:rsid w:val="00316663"/>
    <w:rsid w:val="003166F6"/>
    <w:rsid w:val="00316705"/>
    <w:rsid w:val="00316E14"/>
    <w:rsid w:val="00316FB6"/>
    <w:rsid w:val="003171A5"/>
    <w:rsid w:val="00317F93"/>
    <w:rsid w:val="00320724"/>
    <w:rsid w:val="00321692"/>
    <w:rsid w:val="003217C5"/>
    <w:rsid w:val="0032262D"/>
    <w:rsid w:val="0032288D"/>
    <w:rsid w:val="0032435D"/>
    <w:rsid w:val="0032441C"/>
    <w:rsid w:val="00325AB4"/>
    <w:rsid w:val="0032601F"/>
    <w:rsid w:val="003267E5"/>
    <w:rsid w:val="00326F84"/>
    <w:rsid w:val="0032726E"/>
    <w:rsid w:val="003273D0"/>
    <w:rsid w:val="00327ABB"/>
    <w:rsid w:val="003301CE"/>
    <w:rsid w:val="003302F5"/>
    <w:rsid w:val="003303D9"/>
    <w:rsid w:val="00331533"/>
    <w:rsid w:val="00331D0C"/>
    <w:rsid w:val="0033245A"/>
    <w:rsid w:val="00332785"/>
    <w:rsid w:val="003327C2"/>
    <w:rsid w:val="00332891"/>
    <w:rsid w:val="00333891"/>
    <w:rsid w:val="003339B5"/>
    <w:rsid w:val="00333F7E"/>
    <w:rsid w:val="00334779"/>
    <w:rsid w:val="003347E0"/>
    <w:rsid w:val="00334A63"/>
    <w:rsid w:val="00335597"/>
    <w:rsid w:val="00335A1E"/>
    <w:rsid w:val="00335F49"/>
    <w:rsid w:val="00335FBF"/>
    <w:rsid w:val="00336CF0"/>
    <w:rsid w:val="0033737B"/>
    <w:rsid w:val="0033743F"/>
    <w:rsid w:val="003378D7"/>
    <w:rsid w:val="00337D0A"/>
    <w:rsid w:val="00340475"/>
    <w:rsid w:val="003405C6"/>
    <w:rsid w:val="00341A18"/>
    <w:rsid w:val="00341B46"/>
    <w:rsid w:val="00341EDC"/>
    <w:rsid w:val="003422FF"/>
    <w:rsid w:val="00343161"/>
    <w:rsid w:val="0034332D"/>
    <w:rsid w:val="00343820"/>
    <w:rsid w:val="00343C1F"/>
    <w:rsid w:val="00343D5D"/>
    <w:rsid w:val="0034443F"/>
    <w:rsid w:val="00345A1A"/>
    <w:rsid w:val="00345CCF"/>
    <w:rsid w:val="00346327"/>
    <w:rsid w:val="003464C2"/>
    <w:rsid w:val="003468F8"/>
    <w:rsid w:val="00346A70"/>
    <w:rsid w:val="00346D0C"/>
    <w:rsid w:val="00347A56"/>
    <w:rsid w:val="0035076D"/>
    <w:rsid w:val="00350E64"/>
    <w:rsid w:val="00350F4B"/>
    <w:rsid w:val="00350F89"/>
    <w:rsid w:val="003511F4"/>
    <w:rsid w:val="003514B3"/>
    <w:rsid w:val="00351D1C"/>
    <w:rsid w:val="003528DB"/>
    <w:rsid w:val="00352D37"/>
    <w:rsid w:val="003535C1"/>
    <w:rsid w:val="00353679"/>
    <w:rsid w:val="0035391B"/>
    <w:rsid w:val="00353CC0"/>
    <w:rsid w:val="00353F7E"/>
    <w:rsid w:val="0035405A"/>
    <w:rsid w:val="003548F1"/>
    <w:rsid w:val="0035546F"/>
    <w:rsid w:val="00355900"/>
    <w:rsid w:val="00355BE8"/>
    <w:rsid w:val="00356016"/>
    <w:rsid w:val="0035658D"/>
    <w:rsid w:val="003567D4"/>
    <w:rsid w:val="0035721C"/>
    <w:rsid w:val="00357401"/>
    <w:rsid w:val="0035770C"/>
    <w:rsid w:val="00360107"/>
    <w:rsid w:val="003608C7"/>
    <w:rsid w:val="003610D7"/>
    <w:rsid w:val="003612A5"/>
    <w:rsid w:val="00361860"/>
    <w:rsid w:val="003623CB"/>
    <w:rsid w:val="0036268F"/>
    <w:rsid w:val="00362938"/>
    <w:rsid w:val="00362D32"/>
    <w:rsid w:val="00364251"/>
    <w:rsid w:val="00364F87"/>
    <w:rsid w:val="003656A0"/>
    <w:rsid w:val="00365764"/>
    <w:rsid w:val="00366887"/>
    <w:rsid w:val="003668AD"/>
    <w:rsid w:val="00366D3F"/>
    <w:rsid w:val="00366E1B"/>
    <w:rsid w:val="0036735A"/>
    <w:rsid w:val="003675C0"/>
    <w:rsid w:val="00367771"/>
    <w:rsid w:val="003677DA"/>
    <w:rsid w:val="00367A1E"/>
    <w:rsid w:val="00367BB2"/>
    <w:rsid w:val="00367D0D"/>
    <w:rsid w:val="003703A1"/>
    <w:rsid w:val="00370AF4"/>
    <w:rsid w:val="0037147B"/>
    <w:rsid w:val="00372464"/>
    <w:rsid w:val="003724A0"/>
    <w:rsid w:val="003725D9"/>
    <w:rsid w:val="003725F0"/>
    <w:rsid w:val="003731E4"/>
    <w:rsid w:val="0037343D"/>
    <w:rsid w:val="00373CDF"/>
    <w:rsid w:val="003746E3"/>
    <w:rsid w:val="003749AA"/>
    <w:rsid w:val="00376382"/>
    <w:rsid w:val="00376848"/>
    <w:rsid w:val="003771AC"/>
    <w:rsid w:val="0037795C"/>
    <w:rsid w:val="00377961"/>
    <w:rsid w:val="00377A32"/>
    <w:rsid w:val="00380184"/>
    <w:rsid w:val="0038021F"/>
    <w:rsid w:val="00381EA1"/>
    <w:rsid w:val="00382220"/>
    <w:rsid w:val="00382735"/>
    <w:rsid w:val="00382B08"/>
    <w:rsid w:val="0038368D"/>
    <w:rsid w:val="003836B7"/>
    <w:rsid w:val="00383A87"/>
    <w:rsid w:val="00383BC4"/>
    <w:rsid w:val="003841FE"/>
    <w:rsid w:val="0038477D"/>
    <w:rsid w:val="003848B5"/>
    <w:rsid w:val="00384A78"/>
    <w:rsid w:val="00385142"/>
    <w:rsid w:val="0038565F"/>
    <w:rsid w:val="00386B4B"/>
    <w:rsid w:val="00386FDF"/>
    <w:rsid w:val="00387C19"/>
    <w:rsid w:val="00387CBF"/>
    <w:rsid w:val="003903BC"/>
    <w:rsid w:val="00390F87"/>
    <w:rsid w:val="00391304"/>
    <w:rsid w:val="003914A8"/>
    <w:rsid w:val="0039196D"/>
    <w:rsid w:val="00391A22"/>
    <w:rsid w:val="00391C4D"/>
    <w:rsid w:val="00391C59"/>
    <w:rsid w:val="00391D78"/>
    <w:rsid w:val="003923AE"/>
    <w:rsid w:val="0039302F"/>
    <w:rsid w:val="0039309A"/>
    <w:rsid w:val="0039352D"/>
    <w:rsid w:val="00393BBC"/>
    <w:rsid w:val="00393ED1"/>
    <w:rsid w:val="0039409B"/>
    <w:rsid w:val="0039431A"/>
    <w:rsid w:val="00394CAA"/>
    <w:rsid w:val="00395239"/>
    <w:rsid w:val="0039526C"/>
    <w:rsid w:val="00396528"/>
    <w:rsid w:val="003965F7"/>
    <w:rsid w:val="00397697"/>
    <w:rsid w:val="00397DC2"/>
    <w:rsid w:val="003A052A"/>
    <w:rsid w:val="003A0C20"/>
    <w:rsid w:val="003A0CE0"/>
    <w:rsid w:val="003A0D4E"/>
    <w:rsid w:val="003A0FD8"/>
    <w:rsid w:val="003A1ED9"/>
    <w:rsid w:val="003A1EFC"/>
    <w:rsid w:val="003A2337"/>
    <w:rsid w:val="003A26DF"/>
    <w:rsid w:val="003A2ACC"/>
    <w:rsid w:val="003A2BD1"/>
    <w:rsid w:val="003A2CF7"/>
    <w:rsid w:val="003A3114"/>
    <w:rsid w:val="003A32C4"/>
    <w:rsid w:val="003A3D19"/>
    <w:rsid w:val="003A3EF7"/>
    <w:rsid w:val="003A49E3"/>
    <w:rsid w:val="003A49E6"/>
    <w:rsid w:val="003A4B3B"/>
    <w:rsid w:val="003A5440"/>
    <w:rsid w:val="003A5ADF"/>
    <w:rsid w:val="003A5CBC"/>
    <w:rsid w:val="003A63F4"/>
    <w:rsid w:val="003A7C46"/>
    <w:rsid w:val="003A7DBA"/>
    <w:rsid w:val="003A7DF1"/>
    <w:rsid w:val="003B007A"/>
    <w:rsid w:val="003B0A1E"/>
    <w:rsid w:val="003B0C73"/>
    <w:rsid w:val="003B0D42"/>
    <w:rsid w:val="003B1245"/>
    <w:rsid w:val="003B23A4"/>
    <w:rsid w:val="003B2A9A"/>
    <w:rsid w:val="003B3B3A"/>
    <w:rsid w:val="003B3C7E"/>
    <w:rsid w:val="003B40D0"/>
    <w:rsid w:val="003B4BE1"/>
    <w:rsid w:val="003B59C5"/>
    <w:rsid w:val="003B60EB"/>
    <w:rsid w:val="003B69EB"/>
    <w:rsid w:val="003B6FEE"/>
    <w:rsid w:val="003C0221"/>
    <w:rsid w:val="003C0724"/>
    <w:rsid w:val="003C0A2D"/>
    <w:rsid w:val="003C0C8D"/>
    <w:rsid w:val="003C1265"/>
    <w:rsid w:val="003C220E"/>
    <w:rsid w:val="003C250F"/>
    <w:rsid w:val="003C34A3"/>
    <w:rsid w:val="003C37E9"/>
    <w:rsid w:val="003C3BD2"/>
    <w:rsid w:val="003C5AD8"/>
    <w:rsid w:val="003C6284"/>
    <w:rsid w:val="003C641F"/>
    <w:rsid w:val="003C65B6"/>
    <w:rsid w:val="003C6E7A"/>
    <w:rsid w:val="003C6F31"/>
    <w:rsid w:val="003C73FF"/>
    <w:rsid w:val="003C794E"/>
    <w:rsid w:val="003C795B"/>
    <w:rsid w:val="003C7B72"/>
    <w:rsid w:val="003D009F"/>
    <w:rsid w:val="003D0450"/>
    <w:rsid w:val="003D0614"/>
    <w:rsid w:val="003D074A"/>
    <w:rsid w:val="003D0F5D"/>
    <w:rsid w:val="003D118F"/>
    <w:rsid w:val="003D137F"/>
    <w:rsid w:val="003D1FA9"/>
    <w:rsid w:val="003D32FE"/>
    <w:rsid w:val="003D3309"/>
    <w:rsid w:val="003D3671"/>
    <w:rsid w:val="003D381C"/>
    <w:rsid w:val="003D38F6"/>
    <w:rsid w:val="003D39C5"/>
    <w:rsid w:val="003D4BAF"/>
    <w:rsid w:val="003D5423"/>
    <w:rsid w:val="003D5452"/>
    <w:rsid w:val="003D59D6"/>
    <w:rsid w:val="003D620B"/>
    <w:rsid w:val="003D64D6"/>
    <w:rsid w:val="003D6685"/>
    <w:rsid w:val="003D705B"/>
    <w:rsid w:val="003D75D9"/>
    <w:rsid w:val="003D7BF5"/>
    <w:rsid w:val="003E020C"/>
    <w:rsid w:val="003E032D"/>
    <w:rsid w:val="003E135D"/>
    <w:rsid w:val="003E15D8"/>
    <w:rsid w:val="003E2BAF"/>
    <w:rsid w:val="003E321F"/>
    <w:rsid w:val="003E341C"/>
    <w:rsid w:val="003E3B59"/>
    <w:rsid w:val="003E42BE"/>
    <w:rsid w:val="003E4646"/>
    <w:rsid w:val="003E48F3"/>
    <w:rsid w:val="003E4A69"/>
    <w:rsid w:val="003E59B9"/>
    <w:rsid w:val="003E5B19"/>
    <w:rsid w:val="003E5BB3"/>
    <w:rsid w:val="003E5BBD"/>
    <w:rsid w:val="003E5C04"/>
    <w:rsid w:val="003E7088"/>
    <w:rsid w:val="003E72C4"/>
    <w:rsid w:val="003E7413"/>
    <w:rsid w:val="003F0736"/>
    <w:rsid w:val="003F0DC6"/>
    <w:rsid w:val="003F1455"/>
    <w:rsid w:val="003F1C3D"/>
    <w:rsid w:val="003F1CEA"/>
    <w:rsid w:val="003F1F0B"/>
    <w:rsid w:val="003F25B2"/>
    <w:rsid w:val="003F2616"/>
    <w:rsid w:val="003F271C"/>
    <w:rsid w:val="003F3047"/>
    <w:rsid w:val="003F31B7"/>
    <w:rsid w:val="003F3C85"/>
    <w:rsid w:val="003F3EB1"/>
    <w:rsid w:val="003F4494"/>
    <w:rsid w:val="003F4B54"/>
    <w:rsid w:val="003F590B"/>
    <w:rsid w:val="003F7BA2"/>
    <w:rsid w:val="00400160"/>
    <w:rsid w:val="00400779"/>
    <w:rsid w:val="00400B83"/>
    <w:rsid w:val="00400F89"/>
    <w:rsid w:val="00401045"/>
    <w:rsid w:val="00401404"/>
    <w:rsid w:val="00401C34"/>
    <w:rsid w:val="00401CA5"/>
    <w:rsid w:val="0040291C"/>
    <w:rsid w:val="004032DB"/>
    <w:rsid w:val="004032F5"/>
    <w:rsid w:val="004045C7"/>
    <w:rsid w:val="00404756"/>
    <w:rsid w:val="00404E38"/>
    <w:rsid w:val="00405034"/>
    <w:rsid w:val="00405869"/>
    <w:rsid w:val="00405B1B"/>
    <w:rsid w:val="004065C2"/>
    <w:rsid w:val="004066C3"/>
    <w:rsid w:val="004067A1"/>
    <w:rsid w:val="00406FEC"/>
    <w:rsid w:val="004070FB"/>
    <w:rsid w:val="0040725B"/>
    <w:rsid w:val="00407720"/>
    <w:rsid w:val="0041068D"/>
    <w:rsid w:val="004108EE"/>
    <w:rsid w:val="00410AF6"/>
    <w:rsid w:val="00410E4B"/>
    <w:rsid w:val="00411B56"/>
    <w:rsid w:val="00411CC7"/>
    <w:rsid w:val="00411F81"/>
    <w:rsid w:val="00411FD6"/>
    <w:rsid w:val="00412805"/>
    <w:rsid w:val="00413502"/>
    <w:rsid w:val="0041382D"/>
    <w:rsid w:val="00413892"/>
    <w:rsid w:val="0041423D"/>
    <w:rsid w:val="004144CA"/>
    <w:rsid w:val="00415275"/>
    <w:rsid w:val="00416542"/>
    <w:rsid w:val="00416C95"/>
    <w:rsid w:val="00416E20"/>
    <w:rsid w:val="00416FDE"/>
    <w:rsid w:val="00417175"/>
    <w:rsid w:val="004171F0"/>
    <w:rsid w:val="0041764B"/>
    <w:rsid w:val="004179A3"/>
    <w:rsid w:val="0042000C"/>
    <w:rsid w:val="004205A4"/>
    <w:rsid w:val="0042098A"/>
    <w:rsid w:val="00420E51"/>
    <w:rsid w:val="004210E2"/>
    <w:rsid w:val="004215AC"/>
    <w:rsid w:val="004216A4"/>
    <w:rsid w:val="00422C60"/>
    <w:rsid w:val="0042319C"/>
    <w:rsid w:val="00424314"/>
    <w:rsid w:val="00424569"/>
    <w:rsid w:val="00424D31"/>
    <w:rsid w:val="004252D6"/>
    <w:rsid w:val="004254C1"/>
    <w:rsid w:val="00426851"/>
    <w:rsid w:val="0042687C"/>
    <w:rsid w:val="00427C0E"/>
    <w:rsid w:val="00427E7A"/>
    <w:rsid w:val="00430180"/>
    <w:rsid w:val="00430AC5"/>
    <w:rsid w:val="004313C1"/>
    <w:rsid w:val="00431617"/>
    <w:rsid w:val="0043183D"/>
    <w:rsid w:val="00431BDE"/>
    <w:rsid w:val="004321C4"/>
    <w:rsid w:val="0043350E"/>
    <w:rsid w:val="00433BAF"/>
    <w:rsid w:val="00434169"/>
    <w:rsid w:val="00435261"/>
    <w:rsid w:val="004352FE"/>
    <w:rsid w:val="004353A7"/>
    <w:rsid w:val="00435F30"/>
    <w:rsid w:val="004369E5"/>
    <w:rsid w:val="00437163"/>
    <w:rsid w:val="00437305"/>
    <w:rsid w:val="00440153"/>
    <w:rsid w:val="004402E6"/>
    <w:rsid w:val="0044033D"/>
    <w:rsid w:val="00442F7A"/>
    <w:rsid w:val="004430DB"/>
    <w:rsid w:val="00443540"/>
    <w:rsid w:val="004438BB"/>
    <w:rsid w:val="00444002"/>
    <w:rsid w:val="00444111"/>
    <w:rsid w:val="004442AB"/>
    <w:rsid w:val="00444334"/>
    <w:rsid w:val="00444405"/>
    <w:rsid w:val="0044483E"/>
    <w:rsid w:val="00444A58"/>
    <w:rsid w:val="00446A72"/>
    <w:rsid w:val="00446C39"/>
    <w:rsid w:val="00447671"/>
    <w:rsid w:val="004500DC"/>
    <w:rsid w:val="004501C4"/>
    <w:rsid w:val="004504F5"/>
    <w:rsid w:val="00451897"/>
    <w:rsid w:val="00451B81"/>
    <w:rsid w:val="00451E74"/>
    <w:rsid w:val="0045260F"/>
    <w:rsid w:val="00453136"/>
    <w:rsid w:val="00454FFB"/>
    <w:rsid w:val="00455092"/>
    <w:rsid w:val="004552D2"/>
    <w:rsid w:val="004553F3"/>
    <w:rsid w:val="004555D5"/>
    <w:rsid w:val="00455747"/>
    <w:rsid w:val="00455EBF"/>
    <w:rsid w:val="00455FB8"/>
    <w:rsid w:val="00456411"/>
    <w:rsid w:val="0045653D"/>
    <w:rsid w:val="004566A4"/>
    <w:rsid w:val="00456882"/>
    <w:rsid w:val="00457483"/>
    <w:rsid w:val="00457A11"/>
    <w:rsid w:val="00457B96"/>
    <w:rsid w:val="00457D0F"/>
    <w:rsid w:val="00457F99"/>
    <w:rsid w:val="0046036C"/>
    <w:rsid w:val="00460682"/>
    <w:rsid w:val="004609B6"/>
    <w:rsid w:val="004609FB"/>
    <w:rsid w:val="00460D7B"/>
    <w:rsid w:val="0046215D"/>
    <w:rsid w:val="004623B7"/>
    <w:rsid w:val="00462B00"/>
    <w:rsid w:val="00463453"/>
    <w:rsid w:val="0046386D"/>
    <w:rsid w:val="00464595"/>
    <w:rsid w:val="0046507B"/>
    <w:rsid w:val="0046522D"/>
    <w:rsid w:val="00465419"/>
    <w:rsid w:val="00465487"/>
    <w:rsid w:val="004656A4"/>
    <w:rsid w:val="00466316"/>
    <w:rsid w:val="004670DF"/>
    <w:rsid w:val="0046716C"/>
    <w:rsid w:val="00467911"/>
    <w:rsid w:val="00467924"/>
    <w:rsid w:val="00467948"/>
    <w:rsid w:val="0047070A"/>
    <w:rsid w:val="004709ED"/>
    <w:rsid w:val="00470DD2"/>
    <w:rsid w:val="00471140"/>
    <w:rsid w:val="00471572"/>
    <w:rsid w:val="00471949"/>
    <w:rsid w:val="0047259A"/>
    <w:rsid w:val="00472CE7"/>
    <w:rsid w:val="0047309C"/>
    <w:rsid w:val="004732C2"/>
    <w:rsid w:val="004733A2"/>
    <w:rsid w:val="00473F9C"/>
    <w:rsid w:val="004740EB"/>
    <w:rsid w:val="004743B5"/>
    <w:rsid w:val="00474473"/>
    <w:rsid w:val="004745BA"/>
    <w:rsid w:val="00474E04"/>
    <w:rsid w:val="00475C4F"/>
    <w:rsid w:val="00475EE0"/>
    <w:rsid w:val="0047602B"/>
    <w:rsid w:val="00476CE6"/>
    <w:rsid w:val="00476D50"/>
    <w:rsid w:val="00477C22"/>
    <w:rsid w:val="00480022"/>
    <w:rsid w:val="00480214"/>
    <w:rsid w:val="00480490"/>
    <w:rsid w:val="00480A80"/>
    <w:rsid w:val="00480AD1"/>
    <w:rsid w:val="00482449"/>
    <w:rsid w:val="0048248C"/>
    <w:rsid w:val="00482781"/>
    <w:rsid w:val="0048299D"/>
    <w:rsid w:val="00482A10"/>
    <w:rsid w:val="004832BB"/>
    <w:rsid w:val="00483BDA"/>
    <w:rsid w:val="00483F92"/>
    <w:rsid w:val="0048426B"/>
    <w:rsid w:val="00484337"/>
    <w:rsid w:val="0048496E"/>
    <w:rsid w:val="0048502D"/>
    <w:rsid w:val="00485096"/>
    <w:rsid w:val="00486268"/>
    <w:rsid w:val="004862CE"/>
    <w:rsid w:val="004863E2"/>
    <w:rsid w:val="00486A65"/>
    <w:rsid w:val="00486D72"/>
    <w:rsid w:val="00487A85"/>
    <w:rsid w:val="00487C57"/>
    <w:rsid w:val="00490574"/>
    <w:rsid w:val="004905E0"/>
    <w:rsid w:val="004913DF"/>
    <w:rsid w:val="00491CB5"/>
    <w:rsid w:val="00491FDB"/>
    <w:rsid w:val="004924BF"/>
    <w:rsid w:val="0049255C"/>
    <w:rsid w:val="004931C6"/>
    <w:rsid w:val="0049448B"/>
    <w:rsid w:val="00494D5F"/>
    <w:rsid w:val="004955F2"/>
    <w:rsid w:val="00496631"/>
    <w:rsid w:val="00497A95"/>
    <w:rsid w:val="00497AD0"/>
    <w:rsid w:val="004A00D1"/>
    <w:rsid w:val="004A1017"/>
    <w:rsid w:val="004A1A3C"/>
    <w:rsid w:val="004A1F9E"/>
    <w:rsid w:val="004A2133"/>
    <w:rsid w:val="004A289A"/>
    <w:rsid w:val="004A2B78"/>
    <w:rsid w:val="004A2F1B"/>
    <w:rsid w:val="004A412B"/>
    <w:rsid w:val="004A41CA"/>
    <w:rsid w:val="004A452F"/>
    <w:rsid w:val="004A60E8"/>
    <w:rsid w:val="004A649D"/>
    <w:rsid w:val="004A6B3D"/>
    <w:rsid w:val="004A7A10"/>
    <w:rsid w:val="004A7D47"/>
    <w:rsid w:val="004B0F75"/>
    <w:rsid w:val="004B1077"/>
    <w:rsid w:val="004B1D52"/>
    <w:rsid w:val="004B27A2"/>
    <w:rsid w:val="004B29FD"/>
    <w:rsid w:val="004B2C45"/>
    <w:rsid w:val="004B2D53"/>
    <w:rsid w:val="004B30EC"/>
    <w:rsid w:val="004B3157"/>
    <w:rsid w:val="004B37C9"/>
    <w:rsid w:val="004B44A6"/>
    <w:rsid w:val="004B4DDA"/>
    <w:rsid w:val="004B4FB6"/>
    <w:rsid w:val="004B4FC7"/>
    <w:rsid w:val="004B5C2E"/>
    <w:rsid w:val="004B5F59"/>
    <w:rsid w:val="004B6B1B"/>
    <w:rsid w:val="004B74DD"/>
    <w:rsid w:val="004B7516"/>
    <w:rsid w:val="004B7549"/>
    <w:rsid w:val="004B76A1"/>
    <w:rsid w:val="004C0199"/>
    <w:rsid w:val="004C08E0"/>
    <w:rsid w:val="004C11CE"/>
    <w:rsid w:val="004C17B9"/>
    <w:rsid w:val="004C1D8A"/>
    <w:rsid w:val="004C1D8F"/>
    <w:rsid w:val="004C25CE"/>
    <w:rsid w:val="004C2DAF"/>
    <w:rsid w:val="004C2EC3"/>
    <w:rsid w:val="004C3FE1"/>
    <w:rsid w:val="004C45E8"/>
    <w:rsid w:val="004C4787"/>
    <w:rsid w:val="004C4EBD"/>
    <w:rsid w:val="004C5757"/>
    <w:rsid w:val="004C6E54"/>
    <w:rsid w:val="004C7336"/>
    <w:rsid w:val="004C74ED"/>
    <w:rsid w:val="004C79D1"/>
    <w:rsid w:val="004D0F06"/>
    <w:rsid w:val="004D1775"/>
    <w:rsid w:val="004D1915"/>
    <w:rsid w:val="004D1B99"/>
    <w:rsid w:val="004D1D12"/>
    <w:rsid w:val="004D230C"/>
    <w:rsid w:val="004D23D1"/>
    <w:rsid w:val="004D2580"/>
    <w:rsid w:val="004D26CF"/>
    <w:rsid w:val="004D2C88"/>
    <w:rsid w:val="004D2F62"/>
    <w:rsid w:val="004D3C9D"/>
    <w:rsid w:val="004D525C"/>
    <w:rsid w:val="004D5464"/>
    <w:rsid w:val="004D6690"/>
    <w:rsid w:val="004D69FD"/>
    <w:rsid w:val="004D6B40"/>
    <w:rsid w:val="004D6E13"/>
    <w:rsid w:val="004D6E23"/>
    <w:rsid w:val="004D6F79"/>
    <w:rsid w:val="004D73CD"/>
    <w:rsid w:val="004E025F"/>
    <w:rsid w:val="004E0944"/>
    <w:rsid w:val="004E10EF"/>
    <w:rsid w:val="004E1F08"/>
    <w:rsid w:val="004E21C2"/>
    <w:rsid w:val="004E269E"/>
    <w:rsid w:val="004E2781"/>
    <w:rsid w:val="004E323B"/>
    <w:rsid w:val="004E354D"/>
    <w:rsid w:val="004E358A"/>
    <w:rsid w:val="004E3F58"/>
    <w:rsid w:val="004E476D"/>
    <w:rsid w:val="004E5495"/>
    <w:rsid w:val="004E54CA"/>
    <w:rsid w:val="004E5B8E"/>
    <w:rsid w:val="004E5C77"/>
    <w:rsid w:val="004E5E21"/>
    <w:rsid w:val="004E614B"/>
    <w:rsid w:val="004E61F2"/>
    <w:rsid w:val="004E6216"/>
    <w:rsid w:val="004E6EC1"/>
    <w:rsid w:val="004E767B"/>
    <w:rsid w:val="004F04C2"/>
    <w:rsid w:val="004F0838"/>
    <w:rsid w:val="004F0EDC"/>
    <w:rsid w:val="004F0FDE"/>
    <w:rsid w:val="004F1752"/>
    <w:rsid w:val="004F1E41"/>
    <w:rsid w:val="004F1F28"/>
    <w:rsid w:val="004F2197"/>
    <w:rsid w:val="004F2293"/>
    <w:rsid w:val="004F243E"/>
    <w:rsid w:val="004F2D1F"/>
    <w:rsid w:val="004F3D66"/>
    <w:rsid w:val="004F4628"/>
    <w:rsid w:val="004F467F"/>
    <w:rsid w:val="004F5083"/>
    <w:rsid w:val="004F527B"/>
    <w:rsid w:val="004F617E"/>
    <w:rsid w:val="004F6A3D"/>
    <w:rsid w:val="004F6AD7"/>
    <w:rsid w:val="004F7571"/>
    <w:rsid w:val="004F7599"/>
    <w:rsid w:val="004F75DF"/>
    <w:rsid w:val="0050006A"/>
    <w:rsid w:val="00500988"/>
    <w:rsid w:val="005012A3"/>
    <w:rsid w:val="005017D8"/>
    <w:rsid w:val="00501E46"/>
    <w:rsid w:val="0050282C"/>
    <w:rsid w:val="005032C2"/>
    <w:rsid w:val="005033B0"/>
    <w:rsid w:val="005034D8"/>
    <w:rsid w:val="00503B11"/>
    <w:rsid w:val="00503B26"/>
    <w:rsid w:val="00504284"/>
    <w:rsid w:val="00504CA7"/>
    <w:rsid w:val="005050CF"/>
    <w:rsid w:val="005059DD"/>
    <w:rsid w:val="005060D1"/>
    <w:rsid w:val="00506281"/>
    <w:rsid w:val="00506687"/>
    <w:rsid w:val="005071F2"/>
    <w:rsid w:val="0050752E"/>
    <w:rsid w:val="00507667"/>
    <w:rsid w:val="00507E50"/>
    <w:rsid w:val="005103D9"/>
    <w:rsid w:val="005108B9"/>
    <w:rsid w:val="005108F9"/>
    <w:rsid w:val="005112E9"/>
    <w:rsid w:val="005115E3"/>
    <w:rsid w:val="00511798"/>
    <w:rsid w:val="00511AD1"/>
    <w:rsid w:val="005129D5"/>
    <w:rsid w:val="00512AD7"/>
    <w:rsid w:val="00513201"/>
    <w:rsid w:val="00513E37"/>
    <w:rsid w:val="00513EAA"/>
    <w:rsid w:val="00514469"/>
    <w:rsid w:val="00514C85"/>
    <w:rsid w:val="00514EE0"/>
    <w:rsid w:val="00514FA1"/>
    <w:rsid w:val="00515032"/>
    <w:rsid w:val="005159C1"/>
    <w:rsid w:val="00515B4F"/>
    <w:rsid w:val="0051616D"/>
    <w:rsid w:val="00516A7E"/>
    <w:rsid w:val="005170A6"/>
    <w:rsid w:val="0051769C"/>
    <w:rsid w:val="00520420"/>
    <w:rsid w:val="0052072E"/>
    <w:rsid w:val="0052095E"/>
    <w:rsid w:val="005215C7"/>
    <w:rsid w:val="00521CA4"/>
    <w:rsid w:val="00522454"/>
    <w:rsid w:val="00522D2F"/>
    <w:rsid w:val="0052344F"/>
    <w:rsid w:val="00523CA7"/>
    <w:rsid w:val="005241CE"/>
    <w:rsid w:val="00524ABE"/>
    <w:rsid w:val="00524B26"/>
    <w:rsid w:val="00524FC1"/>
    <w:rsid w:val="00525311"/>
    <w:rsid w:val="0052539B"/>
    <w:rsid w:val="005254AB"/>
    <w:rsid w:val="00525DF5"/>
    <w:rsid w:val="00526846"/>
    <w:rsid w:val="00527F35"/>
    <w:rsid w:val="0053093C"/>
    <w:rsid w:val="00530E6E"/>
    <w:rsid w:val="0053126E"/>
    <w:rsid w:val="005319B6"/>
    <w:rsid w:val="00532369"/>
    <w:rsid w:val="00532C33"/>
    <w:rsid w:val="00532D8B"/>
    <w:rsid w:val="00533AD1"/>
    <w:rsid w:val="00533B47"/>
    <w:rsid w:val="00533D30"/>
    <w:rsid w:val="00534051"/>
    <w:rsid w:val="0053419B"/>
    <w:rsid w:val="005342DA"/>
    <w:rsid w:val="0053446D"/>
    <w:rsid w:val="00534616"/>
    <w:rsid w:val="0053575F"/>
    <w:rsid w:val="00535BDD"/>
    <w:rsid w:val="00535FB3"/>
    <w:rsid w:val="00536450"/>
    <w:rsid w:val="00536902"/>
    <w:rsid w:val="0053779F"/>
    <w:rsid w:val="00541129"/>
    <w:rsid w:val="0054169E"/>
    <w:rsid w:val="00541CB7"/>
    <w:rsid w:val="005424F2"/>
    <w:rsid w:val="0054354F"/>
    <w:rsid w:val="0054375D"/>
    <w:rsid w:val="00543BE2"/>
    <w:rsid w:val="00544CD2"/>
    <w:rsid w:val="00544FC0"/>
    <w:rsid w:val="005457A2"/>
    <w:rsid w:val="00545DBC"/>
    <w:rsid w:val="00545EA2"/>
    <w:rsid w:val="00546065"/>
    <w:rsid w:val="00546B45"/>
    <w:rsid w:val="00547359"/>
    <w:rsid w:val="005475BE"/>
    <w:rsid w:val="00547803"/>
    <w:rsid w:val="00547BED"/>
    <w:rsid w:val="00547FAE"/>
    <w:rsid w:val="00550174"/>
    <w:rsid w:val="005505A1"/>
    <w:rsid w:val="00550A87"/>
    <w:rsid w:val="00550D3E"/>
    <w:rsid w:val="00551129"/>
    <w:rsid w:val="00551DE5"/>
    <w:rsid w:val="005520E4"/>
    <w:rsid w:val="005521D3"/>
    <w:rsid w:val="005529D0"/>
    <w:rsid w:val="00552F0D"/>
    <w:rsid w:val="00553799"/>
    <w:rsid w:val="00553F84"/>
    <w:rsid w:val="00554065"/>
    <w:rsid w:val="00554F7B"/>
    <w:rsid w:val="00555434"/>
    <w:rsid w:val="00555453"/>
    <w:rsid w:val="00556534"/>
    <w:rsid w:val="005579F8"/>
    <w:rsid w:val="00557BE5"/>
    <w:rsid w:val="00560F46"/>
    <w:rsid w:val="005615D2"/>
    <w:rsid w:val="0056205E"/>
    <w:rsid w:val="00562121"/>
    <w:rsid w:val="00562812"/>
    <w:rsid w:val="00562EE8"/>
    <w:rsid w:val="00562F5C"/>
    <w:rsid w:val="005630E0"/>
    <w:rsid w:val="00563197"/>
    <w:rsid w:val="00563BB1"/>
    <w:rsid w:val="00564602"/>
    <w:rsid w:val="00565440"/>
    <w:rsid w:val="0056551C"/>
    <w:rsid w:val="0056555C"/>
    <w:rsid w:val="005655A8"/>
    <w:rsid w:val="005660A7"/>
    <w:rsid w:val="0056643B"/>
    <w:rsid w:val="00566A21"/>
    <w:rsid w:val="00566BF1"/>
    <w:rsid w:val="0057019F"/>
    <w:rsid w:val="00570420"/>
    <w:rsid w:val="0057068A"/>
    <w:rsid w:val="00570ED1"/>
    <w:rsid w:val="00570ED6"/>
    <w:rsid w:val="00571DC7"/>
    <w:rsid w:val="00571E06"/>
    <w:rsid w:val="00571F1B"/>
    <w:rsid w:val="00571F1E"/>
    <w:rsid w:val="00572518"/>
    <w:rsid w:val="0057282C"/>
    <w:rsid w:val="005733A7"/>
    <w:rsid w:val="0057371E"/>
    <w:rsid w:val="00574591"/>
    <w:rsid w:val="00574BF0"/>
    <w:rsid w:val="00574D47"/>
    <w:rsid w:val="00574FDE"/>
    <w:rsid w:val="0057515B"/>
    <w:rsid w:val="00575F5C"/>
    <w:rsid w:val="00575FC3"/>
    <w:rsid w:val="00576014"/>
    <w:rsid w:val="005774EC"/>
    <w:rsid w:val="00577599"/>
    <w:rsid w:val="00580509"/>
    <w:rsid w:val="00580EF9"/>
    <w:rsid w:val="005814D0"/>
    <w:rsid w:val="00581B43"/>
    <w:rsid w:val="005822BF"/>
    <w:rsid w:val="005823D4"/>
    <w:rsid w:val="00582692"/>
    <w:rsid w:val="0058282D"/>
    <w:rsid w:val="00583033"/>
    <w:rsid w:val="005830F2"/>
    <w:rsid w:val="005830F5"/>
    <w:rsid w:val="005832E7"/>
    <w:rsid w:val="00583380"/>
    <w:rsid w:val="00583504"/>
    <w:rsid w:val="005836B3"/>
    <w:rsid w:val="0058370F"/>
    <w:rsid w:val="005846C6"/>
    <w:rsid w:val="00584B79"/>
    <w:rsid w:val="005850DC"/>
    <w:rsid w:val="005853C4"/>
    <w:rsid w:val="005859F0"/>
    <w:rsid w:val="005861B7"/>
    <w:rsid w:val="00587584"/>
    <w:rsid w:val="005903D3"/>
    <w:rsid w:val="00590410"/>
    <w:rsid w:val="00590C98"/>
    <w:rsid w:val="0059128F"/>
    <w:rsid w:val="00591AD9"/>
    <w:rsid w:val="00592ECD"/>
    <w:rsid w:val="005936F7"/>
    <w:rsid w:val="00593A06"/>
    <w:rsid w:val="00593A31"/>
    <w:rsid w:val="00593E69"/>
    <w:rsid w:val="0059445E"/>
    <w:rsid w:val="00594A62"/>
    <w:rsid w:val="005954F1"/>
    <w:rsid w:val="00595ABC"/>
    <w:rsid w:val="005960ED"/>
    <w:rsid w:val="0059669D"/>
    <w:rsid w:val="00597486"/>
    <w:rsid w:val="00597B7D"/>
    <w:rsid w:val="00597E99"/>
    <w:rsid w:val="005A0247"/>
    <w:rsid w:val="005A0596"/>
    <w:rsid w:val="005A1023"/>
    <w:rsid w:val="005A1C6A"/>
    <w:rsid w:val="005A2B5F"/>
    <w:rsid w:val="005A2FC1"/>
    <w:rsid w:val="005A394B"/>
    <w:rsid w:val="005A3C84"/>
    <w:rsid w:val="005A3CED"/>
    <w:rsid w:val="005A4129"/>
    <w:rsid w:val="005A41D5"/>
    <w:rsid w:val="005A4583"/>
    <w:rsid w:val="005A45CB"/>
    <w:rsid w:val="005A4FBA"/>
    <w:rsid w:val="005A4FE9"/>
    <w:rsid w:val="005A5291"/>
    <w:rsid w:val="005A5F1B"/>
    <w:rsid w:val="005A60C8"/>
    <w:rsid w:val="005A638D"/>
    <w:rsid w:val="005A6A48"/>
    <w:rsid w:val="005A73D2"/>
    <w:rsid w:val="005A7B2D"/>
    <w:rsid w:val="005B001E"/>
    <w:rsid w:val="005B08A9"/>
    <w:rsid w:val="005B0982"/>
    <w:rsid w:val="005B0AB7"/>
    <w:rsid w:val="005B0BC8"/>
    <w:rsid w:val="005B0D14"/>
    <w:rsid w:val="005B0D1D"/>
    <w:rsid w:val="005B0D1F"/>
    <w:rsid w:val="005B0D6E"/>
    <w:rsid w:val="005B1024"/>
    <w:rsid w:val="005B17CA"/>
    <w:rsid w:val="005B2B60"/>
    <w:rsid w:val="005B2BC2"/>
    <w:rsid w:val="005B2E79"/>
    <w:rsid w:val="005B34B0"/>
    <w:rsid w:val="005B4149"/>
    <w:rsid w:val="005B43CB"/>
    <w:rsid w:val="005B4B7D"/>
    <w:rsid w:val="005B573C"/>
    <w:rsid w:val="005B5AA3"/>
    <w:rsid w:val="005B5D01"/>
    <w:rsid w:val="005B613C"/>
    <w:rsid w:val="005B64EA"/>
    <w:rsid w:val="005B64EE"/>
    <w:rsid w:val="005B6808"/>
    <w:rsid w:val="005B68F8"/>
    <w:rsid w:val="005B69DC"/>
    <w:rsid w:val="005B6FCB"/>
    <w:rsid w:val="005B750C"/>
    <w:rsid w:val="005C030F"/>
    <w:rsid w:val="005C0799"/>
    <w:rsid w:val="005C142C"/>
    <w:rsid w:val="005C180D"/>
    <w:rsid w:val="005C28F4"/>
    <w:rsid w:val="005C2C39"/>
    <w:rsid w:val="005C2C7D"/>
    <w:rsid w:val="005C2D6A"/>
    <w:rsid w:val="005C2E5D"/>
    <w:rsid w:val="005C33F7"/>
    <w:rsid w:val="005C42A8"/>
    <w:rsid w:val="005C4D5C"/>
    <w:rsid w:val="005C503F"/>
    <w:rsid w:val="005C5209"/>
    <w:rsid w:val="005C5ABD"/>
    <w:rsid w:val="005C5BB7"/>
    <w:rsid w:val="005C63CD"/>
    <w:rsid w:val="005C6697"/>
    <w:rsid w:val="005C7135"/>
    <w:rsid w:val="005C71A6"/>
    <w:rsid w:val="005C7849"/>
    <w:rsid w:val="005C7941"/>
    <w:rsid w:val="005C7E91"/>
    <w:rsid w:val="005D0137"/>
    <w:rsid w:val="005D0765"/>
    <w:rsid w:val="005D0D59"/>
    <w:rsid w:val="005D1C1A"/>
    <w:rsid w:val="005D1E46"/>
    <w:rsid w:val="005D21A2"/>
    <w:rsid w:val="005D2547"/>
    <w:rsid w:val="005D2A02"/>
    <w:rsid w:val="005D2A5C"/>
    <w:rsid w:val="005D2C5F"/>
    <w:rsid w:val="005D34E8"/>
    <w:rsid w:val="005D3900"/>
    <w:rsid w:val="005D3FFF"/>
    <w:rsid w:val="005D4848"/>
    <w:rsid w:val="005D4E8B"/>
    <w:rsid w:val="005D4FC0"/>
    <w:rsid w:val="005D52A2"/>
    <w:rsid w:val="005D5422"/>
    <w:rsid w:val="005D6109"/>
    <w:rsid w:val="005D62D3"/>
    <w:rsid w:val="005D642A"/>
    <w:rsid w:val="005D691A"/>
    <w:rsid w:val="005D7820"/>
    <w:rsid w:val="005E00F4"/>
    <w:rsid w:val="005E081E"/>
    <w:rsid w:val="005E1E5D"/>
    <w:rsid w:val="005E26D1"/>
    <w:rsid w:val="005E27D1"/>
    <w:rsid w:val="005E2BA3"/>
    <w:rsid w:val="005E3BF5"/>
    <w:rsid w:val="005E3FC4"/>
    <w:rsid w:val="005E45E9"/>
    <w:rsid w:val="005E486F"/>
    <w:rsid w:val="005E4B6E"/>
    <w:rsid w:val="005E5415"/>
    <w:rsid w:val="005E61E3"/>
    <w:rsid w:val="005E64EB"/>
    <w:rsid w:val="005E6E98"/>
    <w:rsid w:val="005E708A"/>
    <w:rsid w:val="005E7123"/>
    <w:rsid w:val="005E736E"/>
    <w:rsid w:val="005E7C1B"/>
    <w:rsid w:val="005E7DB9"/>
    <w:rsid w:val="005F0BCB"/>
    <w:rsid w:val="005F0EF2"/>
    <w:rsid w:val="005F100D"/>
    <w:rsid w:val="005F1225"/>
    <w:rsid w:val="005F126B"/>
    <w:rsid w:val="005F1487"/>
    <w:rsid w:val="005F1A46"/>
    <w:rsid w:val="005F1DC0"/>
    <w:rsid w:val="005F1DEE"/>
    <w:rsid w:val="005F36B5"/>
    <w:rsid w:val="005F4019"/>
    <w:rsid w:val="005F40D2"/>
    <w:rsid w:val="005F4141"/>
    <w:rsid w:val="005F546A"/>
    <w:rsid w:val="005F5BF7"/>
    <w:rsid w:val="005F5D28"/>
    <w:rsid w:val="005F5FF7"/>
    <w:rsid w:val="005F6A77"/>
    <w:rsid w:val="005F72DC"/>
    <w:rsid w:val="005F7515"/>
    <w:rsid w:val="005F79B5"/>
    <w:rsid w:val="005F7FE3"/>
    <w:rsid w:val="006001DA"/>
    <w:rsid w:val="00600A83"/>
    <w:rsid w:val="00600EC2"/>
    <w:rsid w:val="006031D5"/>
    <w:rsid w:val="0060346B"/>
    <w:rsid w:val="00604A0A"/>
    <w:rsid w:val="00604C9C"/>
    <w:rsid w:val="00605107"/>
    <w:rsid w:val="00605216"/>
    <w:rsid w:val="00605492"/>
    <w:rsid w:val="0060555C"/>
    <w:rsid w:val="006061ED"/>
    <w:rsid w:val="0060651A"/>
    <w:rsid w:val="00607169"/>
    <w:rsid w:val="00607D8E"/>
    <w:rsid w:val="0061012B"/>
    <w:rsid w:val="0061049E"/>
    <w:rsid w:val="00610EF1"/>
    <w:rsid w:val="006115A7"/>
    <w:rsid w:val="006115EE"/>
    <w:rsid w:val="006116EA"/>
    <w:rsid w:val="006117C4"/>
    <w:rsid w:val="00611BD6"/>
    <w:rsid w:val="00611C9D"/>
    <w:rsid w:val="00611DE7"/>
    <w:rsid w:val="006123B7"/>
    <w:rsid w:val="006127E8"/>
    <w:rsid w:val="00612895"/>
    <w:rsid w:val="006128E6"/>
    <w:rsid w:val="00612B6C"/>
    <w:rsid w:val="00613230"/>
    <w:rsid w:val="0061334D"/>
    <w:rsid w:val="0061382C"/>
    <w:rsid w:val="00613970"/>
    <w:rsid w:val="00613AAD"/>
    <w:rsid w:val="00613F85"/>
    <w:rsid w:val="0061477D"/>
    <w:rsid w:val="00614BFF"/>
    <w:rsid w:val="00614C4F"/>
    <w:rsid w:val="00614E76"/>
    <w:rsid w:val="0061565A"/>
    <w:rsid w:val="00615995"/>
    <w:rsid w:val="00616AC5"/>
    <w:rsid w:val="00616FEB"/>
    <w:rsid w:val="00617754"/>
    <w:rsid w:val="00617B11"/>
    <w:rsid w:val="00617D13"/>
    <w:rsid w:val="00617FB6"/>
    <w:rsid w:val="006209AF"/>
    <w:rsid w:val="00621025"/>
    <w:rsid w:val="006217E1"/>
    <w:rsid w:val="0062201E"/>
    <w:rsid w:val="00622275"/>
    <w:rsid w:val="00622623"/>
    <w:rsid w:val="0062351C"/>
    <w:rsid w:val="00623666"/>
    <w:rsid w:val="0062388E"/>
    <w:rsid w:val="00623C6F"/>
    <w:rsid w:val="006247D4"/>
    <w:rsid w:val="00625520"/>
    <w:rsid w:val="006258D8"/>
    <w:rsid w:val="0062591C"/>
    <w:rsid w:val="0062627B"/>
    <w:rsid w:val="00626B87"/>
    <w:rsid w:val="00626EEA"/>
    <w:rsid w:val="00627ADC"/>
    <w:rsid w:val="00630B37"/>
    <w:rsid w:val="00631526"/>
    <w:rsid w:val="00631AE4"/>
    <w:rsid w:val="00631DDB"/>
    <w:rsid w:val="00632AD8"/>
    <w:rsid w:val="00632B3D"/>
    <w:rsid w:val="006332C6"/>
    <w:rsid w:val="006345AF"/>
    <w:rsid w:val="00634D65"/>
    <w:rsid w:val="006352A6"/>
    <w:rsid w:val="00635F6D"/>
    <w:rsid w:val="00636302"/>
    <w:rsid w:val="00636771"/>
    <w:rsid w:val="00637ACC"/>
    <w:rsid w:val="00637E61"/>
    <w:rsid w:val="006400FC"/>
    <w:rsid w:val="006415AE"/>
    <w:rsid w:val="00641FC7"/>
    <w:rsid w:val="006424A8"/>
    <w:rsid w:val="006424E6"/>
    <w:rsid w:val="0064257C"/>
    <w:rsid w:val="006429F4"/>
    <w:rsid w:val="00642C03"/>
    <w:rsid w:val="00642D92"/>
    <w:rsid w:val="00642DF7"/>
    <w:rsid w:val="00642E5B"/>
    <w:rsid w:val="00643484"/>
    <w:rsid w:val="00643749"/>
    <w:rsid w:val="00643DAE"/>
    <w:rsid w:val="006456AE"/>
    <w:rsid w:val="00645F05"/>
    <w:rsid w:val="00647008"/>
    <w:rsid w:val="00647061"/>
    <w:rsid w:val="00647334"/>
    <w:rsid w:val="00647483"/>
    <w:rsid w:val="00647602"/>
    <w:rsid w:val="00647979"/>
    <w:rsid w:val="00647CA8"/>
    <w:rsid w:val="00647D2F"/>
    <w:rsid w:val="00647D68"/>
    <w:rsid w:val="00650494"/>
    <w:rsid w:val="006507DB"/>
    <w:rsid w:val="00650846"/>
    <w:rsid w:val="00650D2A"/>
    <w:rsid w:val="00650DF4"/>
    <w:rsid w:val="0065108E"/>
    <w:rsid w:val="006514BB"/>
    <w:rsid w:val="00651862"/>
    <w:rsid w:val="00651AD5"/>
    <w:rsid w:val="006524BF"/>
    <w:rsid w:val="0065296E"/>
    <w:rsid w:val="00652BBF"/>
    <w:rsid w:val="00652BF2"/>
    <w:rsid w:val="00652F72"/>
    <w:rsid w:val="00653079"/>
    <w:rsid w:val="006532C3"/>
    <w:rsid w:val="006532E4"/>
    <w:rsid w:val="00653908"/>
    <w:rsid w:val="00653A31"/>
    <w:rsid w:val="0065408B"/>
    <w:rsid w:val="0065415E"/>
    <w:rsid w:val="0065473F"/>
    <w:rsid w:val="00654C60"/>
    <w:rsid w:val="00655099"/>
    <w:rsid w:val="00655884"/>
    <w:rsid w:val="00655A66"/>
    <w:rsid w:val="00655E89"/>
    <w:rsid w:val="00655F04"/>
    <w:rsid w:val="00656520"/>
    <w:rsid w:val="006571CB"/>
    <w:rsid w:val="006577BB"/>
    <w:rsid w:val="00657FE8"/>
    <w:rsid w:val="00661E74"/>
    <w:rsid w:val="006621E9"/>
    <w:rsid w:val="00662C29"/>
    <w:rsid w:val="00662DF6"/>
    <w:rsid w:val="006631E5"/>
    <w:rsid w:val="00663F5D"/>
    <w:rsid w:val="0066428D"/>
    <w:rsid w:val="006649DF"/>
    <w:rsid w:val="00664C69"/>
    <w:rsid w:val="00664D67"/>
    <w:rsid w:val="00665296"/>
    <w:rsid w:val="006657BA"/>
    <w:rsid w:val="00666453"/>
    <w:rsid w:val="0066647B"/>
    <w:rsid w:val="00666766"/>
    <w:rsid w:val="00666C20"/>
    <w:rsid w:val="00666DCD"/>
    <w:rsid w:val="00666E2D"/>
    <w:rsid w:val="006673BE"/>
    <w:rsid w:val="00667C30"/>
    <w:rsid w:val="00667CC2"/>
    <w:rsid w:val="00667EA5"/>
    <w:rsid w:val="0067021A"/>
    <w:rsid w:val="00670D33"/>
    <w:rsid w:val="00670EB5"/>
    <w:rsid w:val="006713EF"/>
    <w:rsid w:val="00671868"/>
    <w:rsid w:val="0067236A"/>
    <w:rsid w:val="00672DE9"/>
    <w:rsid w:val="00672F63"/>
    <w:rsid w:val="006734C2"/>
    <w:rsid w:val="00673936"/>
    <w:rsid w:val="00674235"/>
    <w:rsid w:val="006746C8"/>
    <w:rsid w:val="00675244"/>
    <w:rsid w:val="0067650F"/>
    <w:rsid w:val="006765EF"/>
    <w:rsid w:val="00676B7C"/>
    <w:rsid w:val="006772E0"/>
    <w:rsid w:val="006778C8"/>
    <w:rsid w:val="006779D2"/>
    <w:rsid w:val="00680067"/>
    <w:rsid w:val="00680075"/>
    <w:rsid w:val="0068055A"/>
    <w:rsid w:val="006805D0"/>
    <w:rsid w:val="0068062E"/>
    <w:rsid w:val="0068068A"/>
    <w:rsid w:val="006807CD"/>
    <w:rsid w:val="00680CB8"/>
    <w:rsid w:val="0068197F"/>
    <w:rsid w:val="00681BE2"/>
    <w:rsid w:val="006820B2"/>
    <w:rsid w:val="006820F9"/>
    <w:rsid w:val="00682ACB"/>
    <w:rsid w:val="00682F26"/>
    <w:rsid w:val="00684DC5"/>
    <w:rsid w:val="006855A0"/>
    <w:rsid w:val="006855F0"/>
    <w:rsid w:val="00685D5F"/>
    <w:rsid w:val="00686213"/>
    <w:rsid w:val="00686771"/>
    <w:rsid w:val="0068687D"/>
    <w:rsid w:val="00686B93"/>
    <w:rsid w:val="00686B9F"/>
    <w:rsid w:val="00687ACA"/>
    <w:rsid w:val="0069056A"/>
    <w:rsid w:val="00690789"/>
    <w:rsid w:val="0069084A"/>
    <w:rsid w:val="00690F57"/>
    <w:rsid w:val="00691C21"/>
    <w:rsid w:val="0069243F"/>
    <w:rsid w:val="00692D16"/>
    <w:rsid w:val="006933C1"/>
    <w:rsid w:val="006937FE"/>
    <w:rsid w:val="00693831"/>
    <w:rsid w:val="00693A79"/>
    <w:rsid w:val="006941A4"/>
    <w:rsid w:val="00694B38"/>
    <w:rsid w:val="0069583F"/>
    <w:rsid w:val="0069600F"/>
    <w:rsid w:val="00696C31"/>
    <w:rsid w:val="00697BD5"/>
    <w:rsid w:val="00697D3B"/>
    <w:rsid w:val="00697EF1"/>
    <w:rsid w:val="00697FD5"/>
    <w:rsid w:val="006A07D6"/>
    <w:rsid w:val="006A10CF"/>
    <w:rsid w:val="006A118B"/>
    <w:rsid w:val="006A11F1"/>
    <w:rsid w:val="006A136F"/>
    <w:rsid w:val="006A1654"/>
    <w:rsid w:val="006A1DED"/>
    <w:rsid w:val="006A2515"/>
    <w:rsid w:val="006A2788"/>
    <w:rsid w:val="006A286B"/>
    <w:rsid w:val="006A2963"/>
    <w:rsid w:val="006A2F66"/>
    <w:rsid w:val="006A3E0C"/>
    <w:rsid w:val="006A4038"/>
    <w:rsid w:val="006A41F5"/>
    <w:rsid w:val="006A48F8"/>
    <w:rsid w:val="006A4BCA"/>
    <w:rsid w:val="006A4C2C"/>
    <w:rsid w:val="006A4EE0"/>
    <w:rsid w:val="006A5807"/>
    <w:rsid w:val="006A5D1C"/>
    <w:rsid w:val="006A5D30"/>
    <w:rsid w:val="006A6F2A"/>
    <w:rsid w:val="006A71DF"/>
    <w:rsid w:val="006B0A0E"/>
    <w:rsid w:val="006B0AA4"/>
    <w:rsid w:val="006B0B36"/>
    <w:rsid w:val="006B134C"/>
    <w:rsid w:val="006B16C6"/>
    <w:rsid w:val="006B1A6E"/>
    <w:rsid w:val="006B1B41"/>
    <w:rsid w:val="006B29B6"/>
    <w:rsid w:val="006B30E0"/>
    <w:rsid w:val="006B3227"/>
    <w:rsid w:val="006B39FC"/>
    <w:rsid w:val="006B3D0A"/>
    <w:rsid w:val="006B4263"/>
    <w:rsid w:val="006B449F"/>
    <w:rsid w:val="006B52D0"/>
    <w:rsid w:val="006B5410"/>
    <w:rsid w:val="006B6397"/>
    <w:rsid w:val="006B6EA8"/>
    <w:rsid w:val="006B706F"/>
    <w:rsid w:val="006B79D7"/>
    <w:rsid w:val="006B7D58"/>
    <w:rsid w:val="006C0091"/>
    <w:rsid w:val="006C00E2"/>
    <w:rsid w:val="006C0453"/>
    <w:rsid w:val="006C16BF"/>
    <w:rsid w:val="006C16D4"/>
    <w:rsid w:val="006C1CC4"/>
    <w:rsid w:val="006C22ED"/>
    <w:rsid w:val="006C248F"/>
    <w:rsid w:val="006C3284"/>
    <w:rsid w:val="006C3449"/>
    <w:rsid w:val="006C3C06"/>
    <w:rsid w:val="006C4AF6"/>
    <w:rsid w:val="006C5CAE"/>
    <w:rsid w:val="006C632C"/>
    <w:rsid w:val="006C63AA"/>
    <w:rsid w:val="006C71BA"/>
    <w:rsid w:val="006C7285"/>
    <w:rsid w:val="006C7437"/>
    <w:rsid w:val="006C7AAF"/>
    <w:rsid w:val="006C7AD0"/>
    <w:rsid w:val="006D0058"/>
    <w:rsid w:val="006D01A1"/>
    <w:rsid w:val="006D0310"/>
    <w:rsid w:val="006D043C"/>
    <w:rsid w:val="006D066D"/>
    <w:rsid w:val="006D1719"/>
    <w:rsid w:val="006D1729"/>
    <w:rsid w:val="006D1E9A"/>
    <w:rsid w:val="006D1EBA"/>
    <w:rsid w:val="006D2483"/>
    <w:rsid w:val="006D3B00"/>
    <w:rsid w:val="006D4698"/>
    <w:rsid w:val="006D4802"/>
    <w:rsid w:val="006D49E1"/>
    <w:rsid w:val="006D52C4"/>
    <w:rsid w:val="006D56FE"/>
    <w:rsid w:val="006D5D81"/>
    <w:rsid w:val="006D68E0"/>
    <w:rsid w:val="006D71E2"/>
    <w:rsid w:val="006D73A4"/>
    <w:rsid w:val="006D7960"/>
    <w:rsid w:val="006D7F45"/>
    <w:rsid w:val="006E019E"/>
    <w:rsid w:val="006E1043"/>
    <w:rsid w:val="006E13C4"/>
    <w:rsid w:val="006E1899"/>
    <w:rsid w:val="006E1D40"/>
    <w:rsid w:val="006E1EAD"/>
    <w:rsid w:val="006E2980"/>
    <w:rsid w:val="006E30DA"/>
    <w:rsid w:val="006E3453"/>
    <w:rsid w:val="006E4259"/>
    <w:rsid w:val="006E4676"/>
    <w:rsid w:val="006E474C"/>
    <w:rsid w:val="006E4766"/>
    <w:rsid w:val="006E47BC"/>
    <w:rsid w:val="006E54FB"/>
    <w:rsid w:val="006E57F7"/>
    <w:rsid w:val="006E5871"/>
    <w:rsid w:val="006E5950"/>
    <w:rsid w:val="006E5B79"/>
    <w:rsid w:val="006E6080"/>
    <w:rsid w:val="006E700D"/>
    <w:rsid w:val="006E7025"/>
    <w:rsid w:val="006E7043"/>
    <w:rsid w:val="006E739B"/>
    <w:rsid w:val="006E7497"/>
    <w:rsid w:val="006E7FAF"/>
    <w:rsid w:val="006F00C6"/>
    <w:rsid w:val="006F06E3"/>
    <w:rsid w:val="006F09C4"/>
    <w:rsid w:val="006F0C30"/>
    <w:rsid w:val="006F1810"/>
    <w:rsid w:val="006F21B6"/>
    <w:rsid w:val="006F2585"/>
    <w:rsid w:val="006F2D86"/>
    <w:rsid w:val="006F335C"/>
    <w:rsid w:val="006F34ED"/>
    <w:rsid w:val="006F3624"/>
    <w:rsid w:val="006F3C3D"/>
    <w:rsid w:val="006F3CC2"/>
    <w:rsid w:val="006F44F4"/>
    <w:rsid w:val="006F5634"/>
    <w:rsid w:val="006F57D3"/>
    <w:rsid w:val="006F653D"/>
    <w:rsid w:val="006F65E2"/>
    <w:rsid w:val="006F6937"/>
    <w:rsid w:val="006F6B5B"/>
    <w:rsid w:val="006F6F47"/>
    <w:rsid w:val="006F7642"/>
    <w:rsid w:val="006F7952"/>
    <w:rsid w:val="006F7A36"/>
    <w:rsid w:val="006F7BF3"/>
    <w:rsid w:val="0070039C"/>
    <w:rsid w:val="007004BA"/>
    <w:rsid w:val="00701161"/>
    <w:rsid w:val="007012A7"/>
    <w:rsid w:val="007019A3"/>
    <w:rsid w:val="00701AC2"/>
    <w:rsid w:val="00701F66"/>
    <w:rsid w:val="00702364"/>
    <w:rsid w:val="007025A0"/>
    <w:rsid w:val="0070287A"/>
    <w:rsid w:val="00703220"/>
    <w:rsid w:val="00703C89"/>
    <w:rsid w:val="00704A23"/>
    <w:rsid w:val="00704F13"/>
    <w:rsid w:val="00705363"/>
    <w:rsid w:val="007063A7"/>
    <w:rsid w:val="007063D7"/>
    <w:rsid w:val="00706466"/>
    <w:rsid w:val="007064B5"/>
    <w:rsid w:val="0070705D"/>
    <w:rsid w:val="007105A7"/>
    <w:rsid w:val="007108D3"/>
    <w:rsid w:val="007109C8"/>
    <w:rsid w:val="007110C3"/>
    <w:rsid w:val="007111EA"/>
    <w:rsid w:val="00711510"/>
    <w:rsid w:val="00711D8B"/>
    <w:rsid w:val="007123B9"/>
    <w:rsid w:val="007126C0"/>
    <w:rsid w:val="007129FB"/>
    <w:rsid w:val="00712D82"/>
    <w:rsid w:val="00713403"/>
    <w:rsid w:val="0071437D"/>
    <w:rsid w:val="007145ED"/>
    <w:rsid w:val="0071494F"/>
    <w:rsid w:val="00714C87"/>
    <w:rsid w:val="00715119"/>
    <w:rsid w:val="007160C1"/>
    <w:rsid w:val="00716769"/>
    <w:rsid w:val="007171BD"/>
    <w:rsid w:val="00720176"/>
    <w:rsid w:val="0072037E"/>
    <w:rsid w:val="00720785"/>
    <w:rsid w:val="00720EE3"/>
    <w:rsid w:val="007211C5"/>
    <w:rsid w:val="0072185C"/>
    <w:rsid w:val="00721D81"/>
    <w:rsid w:val="00722329"/>
    <w:rsid w:val="007236B5"/>
    <w:rsid w:val="00723BB1"/>
    <w:rsid w:val="00723D95"/>
    <w:rsid w:val="00724F46"/>
    <w:rsid w:val="00725A51"/>
    <w:rsid w:val="00725E7B"/>
    <w:rsid w:val="00725FE3"/>
    <w:rsid w:val="00726571"/>
    <w:rsid w:val="00726B6C"/>
    <w:rsid w:val="00726B90"/>
    <w:rsid w:val="00726EAA"/>
    <w:rsid w:val="00726F84"/>
    <w:rsid w:val="007274B1"/>
    <w:rsid w:val="00727536"/>
    <w:rsid w:val="007275BC"/>
    <w:rsid w:val="007301DD"/>
    <w:rsid w:val="007316AE"/>
    <w:rsid w:val="00732064"/>
    <w:rsid w:val="0073207D"/>
    <w:rsid w:val="0073271B"/>
    <w:rsid w:val="0073289A"/>
    <w:rsid w:val="00732F39"/>
    <w:rsid w:val="007330BB"/>
    <w:rsid w:val="007332D7"/>
    <w:rsid w:val="00733399"/>
    <w:rsid w:val="00733DEA"/>
    <w:rsid w:val="00733EB6"/>
    <w:rsid w:val="007342A5"/>
    <w:rsid w:val="0073441F"/>
    <w:rsid w:val="007346ED"/>
    <w:rsid w:val="00734C3F"/>
    <w:rsid w:val="007356FC"/>
    <w:rsid w:val="00735E51"/>
    <w:rsid w:val="007368D3"/>
    <w:rsid w:val="00736B0F"/>
    <w:rsid w:val="0073738E"/>
    <w:rsid w:val="007373FD"/>
    <w:rsid w:val="0073788D"/>
    <w:rsid w:val="00740686"/>
    <w:rsid w:val="00740BB2"/>
    <w:rsid w:val="007411E6"/>
    <w:rsid w:val="00741A76"/>
    <w:rsid w:val="00741A7C"/>
    <w:rsid w:val="00741AAF"/>
    <w:rsid w:val="00741F68"/>
    <w:rsid w:val="00741FF3"/>
    <w:rsid w:val="00742358"/>
    <w:rsid w:val="007428B6"/>
    <w:rsid w:val="00742BDA"/>
    <w:rsid w:val="00743111"/>
    <w:rsid w:val="007433C0"/>
    <w:rsid w:val="00743823"/>
    <w:rsid w:val="00743BBD"/>
    <w:rsid w:val="007442E1"/>
    <w:rsid w:val="00744A6C"/>
    <w:rsid w:val="007455AF"/>
    <w:rsid w:val="007455BE"/>
    <w:rsid w:val="007457A8"/>
    <w:rsid w:val="00745A63"/>
    <w:rsid w:val="00745C4F"/>
    <w:rsid w:val="00745C55"/>
    <w:rsid w:val="00746E8E"/>
    <w:rsid w:val="00746F41"/>
    <w:rsid w:val="007473E1"/>
    <w:rsid w:val="007476BF"/>
    <w:rsid w:val="00747821"/>
    <w:rsid w:val="00747A05"/>
    <w:rsid w:val="00747C54"/>
    <w:rsid w:val="00747E88"/>
    <w:rsid w:val="00750329"/>
    <w:rsid w:val="00750429"/>
    <w:rsid w:val="0075079B"/>
    <w:rsid w:val="00751A30"/>
    <w:rsid w:val="00752B21"/>
    <w:rsid w:val="00752B43"/>
    <w:rsid w:val="00752CB6"/>
    <w:rsid w:val="007531C3"/>
    <w:rsid w:val="00753469"/>
    <w:rsid w:val="00753512"/>
    <w:rsid w:val="00753705"/>
    <w:rsid w:val="00753919"/>
    <w:rsid w:val="00754533"/>
    <w:rsid w:val="00754626"/>
    <w:rsid w:val="00754720"/>
    <w:rsid w:val="00754EF9"/>
    <w:rsid w:val="007556C2"/>
    <w:rsid w:val="00755886"/>
    <w:rsid w:val="007561EB"/>
    <w:rsid w:val="0075631A"/>
    <w:rsid w:val="00757707"/>
    <w:rsid w:val="007606EC"/>
    <w:rsid w:val="007614F5"/>
    <w:rsid w:val="00761B16"/>
    <w:rsid w:val="007622F5"/>
    <w:rsid w:val="00762A86"/>
    <w:rsid w:val="00763288"/>
    <w:rsid w:val="007636C0"/>
    <w:rsid w:val="00763BA5"/>
    <w:rsid w:val="00763E6F"/>
    <w:rsid w:val="00763FD8"/>
    <w:rsid w:val="0076414F"/>
    <w:rsid w:val="007647A5"/>
    <w:rsid w:val="00764FD0"/>
    <w:rsid w:val="007654FC"/>
    <w:rsid w:val="007657DA"/>
    <w:rsid w:val="0076629A"/>
    <w:rsid w:val="00766335"/>
    <w:rsid w:val="0076699E"/>
    <w:rsid w:val="00766C5F"/>
    <w:rsid w:val="00766F85"/>
    <w:rsid w:val="007671D1"/>
    <w:rsid w:val="007672CA"/>
    <w:rsid w:val="0076750B"/>
    <w:rsid w:val="00767611"/>
    <w:rsid w:val="00767962"/>
    <w:rsid w:val="00767AEE"/>
    <w:rsid w:val="00767E8F"/>
    <w:rsid w:val="00770050"/>
    <w:rsid w:val="0077077D"/>
    <w:rsid w:val="00772275"/>
    <w:rsid w:val="00772318"/>
    <w:rsid w:val="00773707"/>
    <w:rsid w:val="007738B2"/>
    <w:rsid w:val="007745DA"/>
    <w:rsid w:val="00775EC6"/>
    <w:rsid w:val="007772F3"/>
    <w:rsid w:val="00777AB5"/>
    <w:rsid w:val="00777BA1"/>
    <w:rsid w:val="00777DFB"/>
    <w:rsid w:val="007802C4"/>
    <w:rsid w:val="00780355"/>
    <w:rsid w:val="007805A9"/>
    <w:rsid w:val="00780854"/>
    <w:rsid w:val="00780E79"/>
    <w:rsid w:val="00780F9B"/>
    <w:rsid w:val="00781A1E"/>
    <w:rsid w:val="00781ED5"/>
    <w:rsid w:val="00782353"/>
    <w:rsid w:val="007823F1"/>
    <w:rsid w:val="0078307D"/>
    <w:rsid w:val="007831A7"/>
    <w:rsid w:val="00783746"/>
    <w:rsid w:val="0078392D"/>
    <w:rsid w:val="00783E34"/>
    <w:rsid w:val="0078400F"/>
    <w:rsid w:val="00784BEC"/>
    <w:rsid w:val="007854D5"/>
    <w:rsid w:val="00785C6E"/>
    <w:rsid w:val="00785EF9"/>
    <w:rsid w:val="007878DB"/>
    <w:rsid w:val="007879C5"/>
    <w:rsid w:val="00787ECB"/>
    <w:rsid w:val="0079070F"/>
    <w:rsid w:val="0079077E"/>
    <w:rsid w:val="0079084C"/>
    <w:rsid w:val="00790D2B"/>
    <w:rsid w:val="00790EC9"/>
    <w:rsid w:val="00790EF7"/>
    <w:rsid w:val="00791313"/>
    <w:rsid w:val="007918AE"/>
    <w:rsid w:val="0079392C"/>
    <w:rsid w:val="00794610"/>
    <w:rsid w:val="007946FE"/>
    <w:rsid w:val="007947D2"/>
    <w:rsid w:val="00794CA8"/>
    <w:rsid w:val="00794D8C"/>
    <w:rsid w:val="00794FEF"/>
    <w:rsid w:val="00795427"/>
    <w:rsid w:val="00795500"/>
    <w:rsid w:val="00795630"/>
    <w:rsid w:val="0079567F"/>
    <w:rsid w:val="00795CD5"/>
    <w:rsid w:val="00796234"/>
    <w:rsid w:val="0079639E"/>
    <w:rsid w:val="007965C0"/>
    <w:rsid w:val="007967F1"/>
    <w:rsid w:val="0079693C"/>
    <w:rsid w:val="00796B0B"/>
    <w:rsid w:val="00796B27"/>
    <w:rsid w:val="00796C62"/>
    <w:rsid w:val="00796FC9"/>
    <w:rsid w:val="0079774F"/>
    <w:rsid w:val="00797795"/>
    <w:rsid w:val="0079780C"/>
    <w:rsid w:val="007A0D23"/>
    <w:rsid w:val="007A0E60"/>
    <w:rsid w:val="007A118C"/>
    <w:rsid w:val="007A20B2"/>
    <w:rsid w:val="007A23D4"/>
    <w:rsid w:val="007A2595"/>
    <w:rsid w:val="007A2EAE"/>
    <w:rsid w:val="007A35A7"/>
    <w:rsid w:val="007A36FD"/>
    <w:rsid w:val="007A3753"/>
    <w:rsid w:val="007A5079"/>
    <w:rsid w:val="007A5531"/>
    <w:rsid w:val="007A6828"/>
    <w:rsid w:val="007A695A"/>
    <w:rsid w:val="007A7207"/>
    <w:rsid w:val="007B050D"/>
    <w:rsid w:val="007B0ADB"/>
    <w:rsid w:val="007B1B7D"/>
    <w:rsid w:val="007B1E1A"/>
    <w:rsid w:val="007B23D0"/>
    <w:rsid w:val="007B31F1"/>
    <w:rsid w:val="007B35F0"/>
    <w:rsid w:val="007B3AB4"/>
    <w:rsid w:val="007B41C8"/>
    <w:rsid w:val="007B5119"/>
    <w:rsid w:val="007B5468"/>
    <w:rsid w:val="007B58F6"/>
    <w:rsid w:val="007B5AB2"/>
    <w:rsid w:val="007B5B9B"/>
    <w:rsid w:val="007B5C46"/>
    <w:rsid w:val="007B6534"/>
    <w:rsid w:val="007B6F56"/>
    <w:rsid w:val="007B73AD"/>
    <w:rsid w:val="007B73FB"/>
    <w:rsid w:val="007B7589"/>
    <w:rsid w:val="007B7629"/>
    <w:rsid w:val="007B7972"/>
    <w:rsid w:val="007C06F4"/>
    <w:rsid w:val="007C0F2B"/>
    <w:rsid w:val="007C1125"/>
    <w:rsid w:val="007C1CA4"/>
    <w:rsid w:val="007C21B4"/>
    <w:rsid w:val="007C321B"/>
    <w:rsid w:val="007C32E4"/>
    <w:rsid w:val="007C402A"/>
    <w:rsid w:val="007C4852"/>
    <w:rsid w:val="007C5873"/>
    <w:rsid w:val="007C6342"/>
    <w:rsid w:val="007C7171"/>
    <w:rsid w:val="007C7269"/>
    <w:rsid w:val="007C73D2"/>
    <w:rsid w:val="007C772C"/>
    <w:rsid w:val="007D0267"/>
    <w:rsid w:val="007D1351"/>
    <w:rsid w:val="007D1683"/>
    <w:rsid w:val="007D1D4B"/>
    <w:rsid w:val="007D27FE"/>
    <w:rsid w:val="007D28CF"/>
    <w:rsid w:val="007D2BAB"/>
    <w:rsid w:val="007D2BB0"/>
    <w:rsid w:val="007D2EFB"/>
    <w:rsid w:val="007D35A1"/>
    <w:rsid w:val="007D3737"/>
    <w:rsid w:val="007D3AF4"/>
    <w:rsid w:val="007D3D1A"/>
    <w:rsid w:val="007D491D"/>
    <w:rsid w:val="007D5146"/>
    <w:rsid w:val="007D5600"/>
    <w:rsid w:val="007D6254"/>
    <w:rsid w:val="007D6518"/>
    <w:rsid w:val="007D6E52"/>
    <w:rsid w:val="007D7BB8"/>
    <w:rsid w:val="007D7E29"/>
    <w:rsid w:val="007E0B75"/>
    <w:rsid w:val="007E0FF3"/>
    <w:rsid w:val="007E1478"/>
    <w:rsid w:val="007E1843"/>
    <w:rsid w:val="007E1AA5"/>
    <w:rsid w:val="007E1C9C"/>
    <w:rsid w:val="007E2C3D"/>
    <w:rsid w:val="007E2D88"/>
    <w:rsid w:val="007E3321"/>
    <w:rsid w:val="007E36EE"/>
    <w:rsid w:val="007E375A"/>
    <w:rsid w:val="007E43B6"/>
    <w:rsid w:val="007E4FD7"/>
    <w:rsid w:val="007E5021"/>
    <w:rsid w:val="007E585B"/>
    <w:rsid w:val="007E5865"/>
    <w:rsid w:val="007E5A93"/>
    <w:rsid w:val="007E5BB8"/>
    <w:rsid w:val="007E5F9B"/>
    <w:rsid w:val="007E604B"/>
    <w:rsid w:val="007E63CC"/>
    <w:rsid w:val="007E74AB"/>
    <w:rsid w:val="007E7D46"/>
    <w:rsid w:val="007F08FE"/>
    <w:rsid w:val="007F13EA"/>
    <w:rsid w:val="007F1AF3"/>
    <w:rsid w:val="007F1C0D"/>
    <w:rsid w:val="007F358D"/>
    <w:rsid w:val="007F3AD5"/>
    <w:rsid w:val="007F4D37"/>
    <w:rsid w:val="007F4DC4"/>
    <w:rsid w:val="007F533E"/>
    <w:rsid w:val="007F58E9"/>
    <w:rsid w:val="007F6819"/>
    <w:rsid w:val="007F70CF"/>
    <w:rsid w:val="007F7271"/>
    <w:rsid w:val="007F766C"/>
    <w:rsid w:val="007F7F92"/>
    <w:rsid w:val="00800084"/>
    <w:rsid w:val="00800E34"/>
    <w:rsid w:val="00800FF3"/>
    <w:rsid w:val="008017BE"/>
    <w:rsid w:val="00802BE7"/>
    <w:rsid w:val="00802C32"/>
    <w:rsid w:val="00802E33"/>
    <w:rsid w:val="0080333B"/>
    <w:rsid w:val="00803A59"/>
    <w:rsid w:val="00804FEE"/>
    <w:rsid w:val="008052C2"/>
    <w:rsid w:val="008069DF"/>
    <w:rsid w:val="00807B54"/>
    <w:rsid w:val="00810B31"/>
    <w:rsid w:val="0081129F"/>
    <w:rsid w:val="008115E0"/>
    <w:rsid w:val="008117C4"/>
    <w:rsid w:val="0081209F"/>
    <w:rsid w:val="00812BA3"/>
    <w:rsid w:val="00813728"/>
    <w:rsid w:val="00813BD7"/>
    <w:rsid w:val="00813E10"/>
    <w:rsid w:val="00813F0E"/>
    <w:rsid w:val="0081449F"/>
    <w:rsid w:val="008149C5"/>
    <w:rsid w:val="00814B8D"/>
    <w:rsid w:val="00814CC9"/>
    <w:rsid w:val="008152F4"/>
    <w:rsid w:val="00815550"/>
    <w:rsid w:val="00815DE1"/>
    <w:rsid w:val="0081752C"/>
    <w:rsid w:val="00817596"/>
    <w:rsid w:val="0081777C"/>
    <w:rsid w:val="00820362"/>
    <w:rsid w:val="0082051A"/>
    <w:rsid w:val="0082054C"/>
    <w:rsid w:val="00820C69"/>
    <w:rsid w:val="00821041"/>
    <w:rsid w:val="00821361"/>
    <w:rsid w:val="00821442"/>
    <w:rsid w:val="00821886"/>
    <w:rsid w:val="00821CA3"/>
    <w:rsid w:val="00821DAF"/>
    <w:rsid w:val="008226B4"/>
    <w:rsid w:val="0082270D"/>
    <w:rsid w:val="00822B5D"/>
    <w:rsid w:val="00822CA2"/>
    <w:rsid w:val="00823502"/>
    <w:rsid w:val="00824A29"/>
    <w:rsid w:val="00824DE3"/>
    <w:rsid w:val="00824E15"/>
    <w:rsid w:val="00825E19"/>
    <w:rsid w:val="0082614B"/>
    <w:rsid w:val="008263E4"/>
    <w:rsid w:val="008264E9"/>
    <w:rsid w:val="00826690"/>
    <w:rsid w:val="00826DE0"/>
    <w:rsid w:val="0082733C"/>
    <w:rsid w:val="00830090"/>
    <w:rsid w:val="008301E9"/>
    <w:rsid w:val="008302B8"/>
    <w:rsid w:val="0083040E"/>
    <w:rsid w:val="00830C95"/>
    <w:rsid w:val="00830E3D"/>
    <w:rsid w:val="0083108E"/>
    <w:rsid w:val="00831321"/>
    <w:rsid w:val="00831672"/>
    <w:rsid w:val="0083185B"/>
    <w:rsid w:val="00831C0B"/>
    <w:rsid w:val="008328D4"/>
    <w:rsid w:val="00832F8B"/>
    <w:rsid w:val="0083349E"/>
    <w:rsid w:val="00833A93"/>
    <w:rsid w:val="00833CAE"/>
    <w:rsid w:val="00833FD6"/>
    <w:rsid w:val="0083429A"/>
    <w:rsid w:val="0083462C"/>
    <w:rsid w:val="00834DB4"/>
    <w:rsid w:val="00835430"/>
    <w:rsid w:val="00835950"/>
    <w:rsid w:val="00835AD7"/>
    <w:rsid w:val="008363F5"/>
    <w:rsid w:val="0083656A"/>
    <w:rsid w:val="008367D5"/>
    <w:rsid w:val="00836801"/>
    <w:rsid w:val="00836C4C"/>
    <w:rsid w:val="00836FEF"/>
    <w:rsid w:val="00837441"/>
    <w:rsid w:val="00837484"/>
    <w:rsid w:val="00837BD6"/>
    <w:rsid w:val="0084014A"/>
    <w:rsid w:val="0084015A"/>
    <w:rsid w:val="008401A5"/>
    <w:rsid w:val="008406BA"/>
    <w:rsid w:val="00841727"/>
    <w:rsid w:val="00841E21"/>
    <w:rsid w:val="00842186"/>
    <w:rsid w:val="008422BE"/>
    <w:rsid w:val="0084236B"/>
    <w:rsid w:val="008427CC"/>
    <w:rsid w:val="00842FA6"/>
    <w:rsid w:val="00843292"/>
    <w:rsid w:val="008434E0"/>
    <w:rsid w:val="00843AF6"/>
    <w:rsid w:val="00844100"/>
    <w:rsid w:val="00844655"/>
    <w:rsid w:val="00845024"/>
    <w:rsid w:val="0084549F"/>
    <w:rsid w:val="00845D91"/>
    <w:rsid w:val="00845F9C"/>
    <w:rsid w:val="008460D8"/>
    <w:rsid w:val="00846988"/>
    <w:rsid w:val="00847DCD"/>
    <w:rsid w:val="00847DDB"/>
    <w:rsid w:val="008500A6"/>
    <w:rsid w:val="008503DD"/>
    <w:rsid w:val="00850C0B"/>
    <w:rsid w:val="00852845"/>
    <w:rsid w:val="00852D7E"/>
    <w:rsid w:val="008531AF"/>
    <w:rsid w:val="008533AD"/>
    <w:rsid w:val="008536AD"/>
    <w:rsid w:val="00853760"/>
    <w:rsid w:val="00853878"/>
    <w:rsid w:val="0085440E"/>
    <w:rsid w:val="00854768"/>
    <w:rsid w:val="00855E0C"/>
    <w:rsid w:val="008562D3"/>
    <w:rsid w:val="00856613"/>
    <w:rsid w:val="00857352"/>
    <w:rsid w:val="0085742B"/>
    <w:rsid w:val="0085794A"/>
    <w:rsid w:val="00857D48"/>
    <w:rsid w:val="008601CC"/>
    <w:rsid w:val="0086038C"/>
    <w:rsid w:val="00861E9F"/>
    <w:rsid w:val="00862043"/>
    <w:rsid w:val="008630B8"/>
    <w:rsid w:val="00863C31"/>
    <w:rsid w:val="00863F61"/>
    <w:rsid w:val="0086431D"/>
    <w:rsid w:val="0086483B"/>
    <w:rsid w:val="00864B57"/>
    <w:rsid w:val="00864EA9"/>
    <w:rsid w:val="00864F9A"/>
    <w:rsid w:val="00865CDC"/>
    <w:rsid w:val="00865D50"/>
    <w:rsid w:val="00865EE3"/>
    <w:rsid w:val="00866923"/>
    <w:rsid w:val="00867BF1"/>
    <w:rsid w:val="00870D19"/>
    <w:rsid w:val="00870E7F"/>
    <w:rsid w:val="00870E8A"/>
    <w:rsid w:val="00870FD6"/>
    <w:rsid w:val="008718FF"/>
    <w:rsid w:val="00871AAD"/>
    <w:rsid w:val="00872032"/>
    <w:rsid w:val="0087309F"/>
    <w:rsid w:val="008731DB"/>
    <w:rsid w:val="00873309"/>
    <w:rsid w:val="008733FE"/>
    <w:rsid w:val="0087454E"/>
    <w:rsid w:val="00875E67"/>
    <w:rsid w:val="00876102"/>
    <w:rsid w:val="008761E3"/>
    <w:rsid w:val="008764AE"/>
    <w:rsid w:val="00876771"/>
    <w:rsid w:val="00876E3A"/>
    <w:rsid w:val="00877B78"/>
    <w:rsid w:val="00877E2C"/>
    <w:rsid w:val="00877E3B"/>
    <w:rsid w:val="00880227"/>
    <w:rsid w:val="008808A4"/>
    <w:rsid w:val="00880C07"/>
    <w:rsid w:val="00882191"/>
    <w:rsid w:val="008821E9"/>
    <w:rsid w:val="00882AC2"/>
    <w:rsid w:val="00883C85"/>
    <w:rsid w:val="00883CA9"/>
    <w:rsid w:val="008848A5"/>
    <w:rsid w:val="008848F5"/>
    <w:rsid w:val="00884DB3"/>
    <w:rsid w:val="008850D0"/>
    <w:rsid w:val="0088552D"/>
    <w:rsid w:val="00885798"/>
    <w:rsid w:val="008858E2"/>
    <w:rsid w:val="00886567"/>
    <w:rsid w:val="008869C8"/>
    <w:rsid w:val="00886B32"/>
    <w:rsid w:val="0088717F"/>
    <w:rsid w:val="00887516"/>
    <w:rsid w:val="00890972"/>
    <w:rsid w:val="00890FE0"/>
    <w:rsid w:val="008910B5"/>
    <w:rsid w:val="0089113F"/>
    <w:rsid w:val="008911B5"/>
    <w:rsid w:val="00892116"/>
    <w:rsid w:val="008927D1"/>
    <w:rsid w:val="00892AA2"/>
    <w:rsid w:val="00892CCD"/>
    <w:rsid w:val="00892D57"/>
    <w:rsid w:val="00893064"/>
    <w:rsid w:val="00893528"/>
    <w:rsid w:val="00893BC2"/>
    <w:rsid w:val="008940A0"/>
    <w:rsid w:val="0089462D"/>
    <w:rsid w:val="008946B3"/>
    <w:rsid w:val="00894870"/>
    <w:rsid w:val="00894E40"/>
    <w:rsid w:val="008954B5"/>
    <w:rsid w:val="00895545"/>
    <w:rsid w:val="008956C4"/>
    <w:rsid w:val="008956DD"/>
    <w:rsid w:val="0089584F"/>
    <w:rsid w:val="008958E8"/>
    <w:rsid w:val="00895C26"/>
    <w:rsid w:val="00896071"/>
    <w:rsid w:val="008961E1"/>
    <w:rsid w:val="00896733"/>
    <w:rsid w:val="00896AF1"/>
    <w:rsid w:val="00896AFD"/>
    <w:rsid w:val="00896C4F"/>
    <w:rsid w:val="00896E53"/>
    <w:rsid w:val="00897034"/>
    <w:rsid w:val="00897F39"/>
    <w:rsid w:val="008A051C"/>
    <w:rsid w:val="008A0B0E"/>
    <w:rsid w:val="008A0DBE"/>
    <w:rsid w:val="008A10DB"/>
    <w:rsid w:val="008A114D"/>
    <w:rsid w:val="008A2674"/>
    <w:rsid w:val="008A29F6"/>
    <w:rsid w:val="008A2A1F"/>
    <w:rsid w:val="008A2FAD"/>
    <w:rsid w:val="008A30DD"/>
    <w:rsid w:val="008A31DD"/>
    <w:rsid w:val="008A3AE9"/>
    <w:rsid w:val="008A423B"/>
    <w:rsid w:val="008A4489"/>
    <w:rsid w:val="008A4D2E"/>
    <w:rsid w:val="008A5D87"/>
    <w:rsid w:val="008A6814"/>
    <w:rsid w:val="008A6837"/>
    <w:rsid w:val="008A720B"/>
    <w:rsid w:val="008A7284"/>
    <w:rsid w:val="008A72AD"/>
    <w:rsid w:val="008B066D"/>
    <w:rsid w:val="008B098C"/>
    <w:rsid w:val="008B0DD0"/>
    <w:rsid w:val="008B1968"/>
    <w:rsid w:val="008B1A73"/>
    <w:rsid w:val="008B219A"/>
    <w:rsid w:val="008B2291"/>
    <w:rsid w:val="008B3B02"/>
    <w:rsid w:val="008B3D6A"/>
    <w:rsid w:val="008B4130"/>
    <w:rsid w:val="008B4663"/>
    <w:rsid w:val="008B5869"/>
    <w:rsid w:val="008B595F"/>
    <w:rsid w:val="008B5A71"/>
    <w:rsid w:val="008B5F4E"/>
    <w:rsid w:val="008B6176"/>
    <w:rsid w:val="008B72E8"/>
    <w:rsid w:val="008B78E4"/>
    <w:rsid w:val="008B7B1A"/>
    <w:rsid w:val="008B7DE6"/>
    <w:rsid w:val="008C00EC"/>
    <w:rsid w:val="008C0109"/>
    <w:rsid w:val="008C0190"/>
    <w:rsid w:val="008C08C7"/>
    <w:rsid w:val="008C09A6"/>
    <w:rsid w:val="008C109E"/>
    <w:rsid w:val="008C1C9D"/>
    <w:rsid w:val="008C1CB5"/>
    <w:rsid w:val="008C2F79"/>
    <w:rsid w:val="008C3A86"/>
    <w:rsid w:val="008C46F9"/>
    <w:rsid w:val="008C477D"/>
    <w:rsid w:val="008C4FD5"/>
    <w:rsid w:val="008C5A59"/>
    <w:rsid w:val="008C63A6"/>
    <w:rsid w:val="008C65FE"/>
    <w:rsid w:val="008C7246"/>
    <w:rsid w:val="008D09DF"/>
    <w:rsid w:val="008D0D89"/>
    <w:rsid w:val="008D0E0C"/>
    <w:rsid w:val="008D1528"/>
    <w:rsid w:val="008D157C"/>
    <w:rsid w:val="008D1F65"/>
    <w:rsid w:val="008D254B"/>
    <w:rsid w:val="008D2A7A"/>
    <w:rsid w:val="008D2B8F"/>
    <w:rsid w:val="008D39A7"/>
    <w:rsid w:val="008D3F2C"/>
    <w:rsid w:val="008D4354"/>
    <w:rsid w:val="008D5A41"/>
    <w:rsid w:val="008D5D50"/>
    <w:rsid w:val="008D618B"/>
    <w:rsid w:val="008D67B9"/>
    <w:rsid w:val="008D75C6"/>
    <w:rsid w:val="008D7C8A"/>
    <w:rsid w:val="008D7EBA"/>
    <w:rsid w:val="008E0082"/>
    <w:rsid w:val="008E0890"/>
    <w:rsid w:val="008E104D"/>
    <w:rsid w:val="008E11DB"/>
    <w:rsid w:val="008E1254"/>
    <w:rsid w:val="008E13C6"/>
    <w:rsid w:val="008E21C2"/>
    <w:rsid w:val="008E21DD"/>
    <w:rsid w:val="008E2AAD"/>
    <w:rsid w:val="008E2BEB"/>
    <w:rsid w:val="008E392E"/>
    <w:rsid w:val="008E41FE"/>
    <w:rsid w:val="008E51A5"/>
    <w:rsid w:val="008E553A"/>
    <w:rsid w:val="008E5D34"/>
    <w:rsid w:val="008E78EF"/>
    <w:rsid w:val="008E7990"/>
    <w:rsid w:val="008F0145"/>
    <w:rsid w:val="008F02BE"/>
    <w:rsid w:val="008F02E3"/>
    <w:rsid w:val="008F0D2F"/>
    <w:rsid w:val="008F10AB"/>
    <w:rsid w:val="008F1956"/>
    <w:rsid w:val="008F3EAA"/>
    <w:rsid w:val="008F515E"/>
    <w:rsid w:val="008F5C5E"/>
    <w:rsid w:val="008F64AA"/>
    <w:rsid w:val="008F6DB2"/>
    <w:rsid w:val="008F7365"/>
    <w:rsid w:val="008F75D6"/>
    <w:rsid w:val="008F7E88"/>
    <w:rsid w:val="0090059F"/>
    <w:rsid w:val="009025B2"/>
    <w:rsid w:val="00902BA9"/>
    <w:rsid w:val="009036A2"/>
    <w:rsid w:val="009044B6"/>
    <w:rsid w:val="00905C08"/>
    <w:rsid w:val="00905D33"/>
    <w:rsid w:val="009066FF"/>
    <w:rsid w:val="0090783B"/>
    <w:rsid w:val="00907C42"/>
    <w:rsid w:val="009103BA"/>
    <w:rsid w:val="009107F8"/>
    <w:rsid w:val="00910BCE"/>
    <w:rsid w:val="00910E51"/>
    <w:rsid w:val="009112E1"/>
    <w:rsid w:val="00911728"/>
    <w:rsid w:val="009121CE"/>
    <w:rsid w:val="009124CC"/>
    <w:rsid w:val="009129FA"/>
    <w:rsid w:val="009134E4"/>
    <w:rsid w:val="009138E5"/>
    <w:rsid w:val="00913C7D"/>
    <w:rsid w:val="00914009"/>
    <w:rsid w:val="0091453C"/>
    <w:rsid w:val="00914FD8"/>
    <w:rsid w:val="00915742"/>
    <w:rsid w:val="00915DAB"/>
    <w:rsid w:val="009163BB"/>
    <w:rsid w:val="00916463"/>
    <w:rsid w:val="00916B25"/>
    <w:rsid w:val="00916B2B"/>
    <w:rsid w:val="00916E0C"/>
    <w:rsid w:val="009173C5"/>
    <w:rsid w:val="00917BCA"/>
    <w:rsid w:val="00917C2F"/>
    <w:rsid w:val="00917EE3"/>
    <w:rsid w:val="0092039C"/>
    <w:rsid w:val="009208A7"/>
    <w:rsid w:val="00921139"/>
    <w:rsid w:val="00921246"/>
    <w:rsid w:val="00922711"/>
    <w:rsid w:val="00922A16"/>
    <w:rsid w:val="00922ADF"/>
    <w:rsid w:val="00923370"/>
    <w:rsid w:val="00923E1C"/>
    <w:rsid w:val="0092402A"/>
    <w:rsid w:val="00924765"/>
    <w:rsid w:val="00924774"/>
    <w:rsid w:val="00924E29"/>
    <w:rsid w:val="00924F13"/>
    <w:rsid w:val="0092502F"/>
    <w:rsid w:val="00925F53"/>
    <w:rsid w:val="00926153"/>
    <w:rsid w:val="00926461"/>
    <w:rsid w:val="00927D60"/>
    <w:rsid w:val="0093013E"/>
    <w:rsid w:val="00930366"/>
    <w:rsid w:val="009304C2"/>
    <w:rsid w:val="00930ABB"/>
    <w:rsid w:val="00930B3D"/>
    <w:rsid w:val="00930E25"/>
    <w:rsid w:val="009318AF"/>
    <w:rsid w:val="009318FD"/>
    <w:rsid w:val="009321C7"/>
    <w:rsid w:val="00933932"/>
    <w:rsid w:val="009339D5"/>
    <w:rsid w:val="00933F2B"/>
    <w:rsid w:val="00934127"/>
    <w:rsid w:val="0093452A"/>
    <w:rsid w:val="00934640"/>
    <w:rsid w:val="009353BF"/>
    <w:rsid w:val="00935D77"/>
    <w:rsid w:val="00936400"/>
    <w:rsid w:val="0093682D"/>
    <w:rsid w:val="00937E76"/>
    <w:rsid w:val="00940237"/>
    <w:rsid w:val="00941161"/>
    <w:rsid w:val="009414CF"/>
    <w:rsid w:val="009417F0"/>
    <w:rsid w:val="00941918"/>
    <w:rsid w:val="00941A47"/>
    <w:rsid w:val="009428C9"/>
    <w:rsid w:val="00942FCB"/>
    <w:rsid w:val="009430E7"/>
    <w:rsid w:val="0094323C"/>
    <w:rsid w:val="00943434"/>
    <w:rsid w:val="00944F5E"/>
    <w:rsid w:val="009454F0"/>
    <w:rsid w:val="009455CF"/>
    <w:rsid w:val="0094587F"/>
    <w:rsid w:val="00946CBA"/>
    <w:rsid w:val="00947063"/>
    <w:rsid w:val="00947960"/>
    <w:rsid w:val="00947A1D"/>
    <w:rsid w:val="00947B5C"/>
    <w:rsid w:val="00950210"/>
    <w:rsid w:val="0095040D"/>
    <w:rsid w:val="00950610"/>
    <w:rsid w:val="00950616"/>
    <w:rsid w:val="00950D0D"/>
    <w:rsid w:val="009510AE"/>
    <w:rsid w:val="00951D31"/>
    <w:rsid w:val="00951E33"/>
    <w:rsid w:val="009532A9"/>
    <w:rsid w:val="009535BB"/>
    <w:rsid w:val="00953749"/>
    <w:rsid w:val="0095375B"/>
    <w:rsid w:val="00954495"/>
    <w:rsid w:val="0095466C"/>
    <w:rsid w:val="009556DF"/>
    <w:rsid w:val="00955D38"/>
    <w:rsid w:val="00955D80"/>
    <w:rsid w:val="00956A4E"/>
    <w:rsid w:val="00956FA7"/>
    <w:rsid w:val="00957199"/>
    <w:rsid w:val="00957439"/>
    <w:rsid w:val="009579A9"/>
    <w:rsid w:val="00957D35"/>
    <w:rsid w:val="00960728"/>
    <w:rsid w:val="00960CCC"/>
    <w:rsid w:val="009612F8"/>
    <w:rsid w:val="00961B10"/>
    <w:rsid w:val="00962AF1"/>
    <w:rsid w:val="00962E4B"/>
    <w:rsid w:val="0096330C"/>
    <w:rsid w:val="00963E3C"/>
    <w:rsid w:val="00964A8A"/>
    <w:rsid w:val="00964B6F"/>
    <w:rsid w:val="00964E93"/>
    <w:rsid w:val="0096533F"/>
    <w:rsid w:val="0096546F"/>
    <w:rsid w:val="0096580A"/>
    <w:rsid w:val="00965FB1"/>
    <w:rsid w:val="0096629C"/>
    <w:rsid w:val="00966B70"/>
    <w:rsid w:val="00966BF5"/>
    <w:rsid w:val="0096722A"/>
    <w:rsid w:val="00967305"/>
    <w:rsid w:val="00967912"/>
    <w:rsid w:val="0097119F"/>
    <w:rsid w:val="009712A7"/>
    <w:rsid w:val="00971CB2"/>
    <w:rsid w:val="00971DDB"/>
    <w:rsid w:val="009721D4"/>
    <w:rsid w:val="00972A53"/>
    <w:rsid w:val="00972CAB"/>
    <w:rsid w:val="0097320C"/>
    <w:rsid w:val="00973E78"/>
    <w:rsid w:val="009754A0"/>
    <w:rsid w:val="0097678D"/>
    <w:rsid w:val="00976DB5"/>
    <w:rsid w:val="00977461"/>
    <w:rsid w:val="009779AD"/>
    <w:rsid w:val="00980545"/>
    <w:rsid w:val="00980635"/>
    <w:rsid w:val="0098095D"/>
    <w:rsid w:val="009810EB"/>
    <w:rsid w:val="00981563"/>
    <w:rsid w:val="00982104"/>
    <w:rsid w:val="009827AC"/>
    <w:rsid w:val="00982C1F"/>
    <w:rsid w:val="00982CA2"/>
    <w:rsid w:val="00982F12"/>
    <w:rsid w:val="00983B33"/>
    <w:rsid w:val="009850A1"/>
    <w:rsid w:val="0098531D"/>
    <w:rsid w:val="00985563"/>
    <w:rsid w:val="009855B7"/>
    <w:rsid w:val="00986340"/>
    <w:rsid w:val="00986416"/>
    <w:rsid w:val="009866C3"/>
    <w:rsid w:val="009867EC"/>
    <w:rsid w:val="00986849"/>
    <w:rsid w:val="009873E1"/>
    <w:rsid w:val="009905A6"/>
    <w:rsid w:val="00990B05"/>
    <w:rsid w:val="00990C99"/>
    <w:rsid w:val="00991157"/>
    <w:rsid w:val="0099127A"/>
    <w:rsid w:val="0099153C"/>
    <w:rsid w:val="00991915"/>
    <w:rsid w:val="009924F7"/>
    <w:rsid w:val="009929F1"/>
    <w:rsid w:val="009933E6"/>
    <w:rsid w:val="00993BBE"/>
    <w:rsid w:val="0099533C"/>
    <w:rsid w:val="00995737"/>
    <w:rsid w:val="00995902"/>
    <w:rsid w:val="00995E25"/>
    <w:rsid w:val="0099655B"/>
    <w:rsid w:val="009972CC"/>
    <w:rsid w:val="009979A2"/>
    <w:rsid w:val="00997A21"/>
    <w:rsid w:val="009A023B"/>
    <w:rsid w:val="009A0396"/>
    <w:rsid w:val="009A0897"/>
    <w:rsid w:val="009A094D"/>
    <w:rsid w:val="009A0B30"/>
    <w:rsid w:val="009A0EF5"/>
    <w:rsid w:val="009A1518"/>
    <w:rsid w:val="009A17D6"/>
    <w:rsid w:val="009A1C2E"/>
    <w:rsid w:val="009A2042"/>
    <w:rsid w:val="009A2D0D"/>
    <w:rsid w:val="009A2D6B"/>
    <w:rsid w:val="009A2E60"/>
    <w:rsid w:val="009A3017"/>
    <w:rsid w:val="009A3339"/>
    <w:rsid w:val="009A364D"/>
    <w:rsid w:val="009A3D31"/>
    <w:rsid w:val="009A43A9"/>
    <w:rsid w:val="009A449D"/>
    <w:rsid w:val="009A44E1"/>
    <w:rsid w:val="009A4AA5"/>
    <w:rsid w:val="009A4AB4"/>
    <w:rsid w:val="009A4FC9"/>
    <w:rsid w:val="009A5215"/>
    <w:rsid w:val="009A58B3"/>
    <w:rsid w:val="009A5DD5"/>
    <w:rsid w:val="009A5FC6"/>
    <w:rsid w:val="009A7870"/>
    <w:rsid w:val="009A7BA4"/>
    <w:rsid w:val="009A7C7A"/>
    <w:rsid w:val="009A7EA8"/>
    <w:rsid w:val="009B0459"/>
    <w:rsid w:val="009B0DD5"/>
    <w:rsid w:val="009B1424"/>
    <w:rsid w:val="009B1975"/>
    <w:rsid w:val="009B1C62"/>
    <w:rsid w:val="009B23A8"/>
    <w:rsid w:val="009B23B3"/>
    <w:rsid w:val="009B2E89"/>
    <w:rsid w:val="009B344A"/>
    <w:rsid w:val="009B3EC4"/>
    <w:rsid w:val="009B3EF3"/>
    <w:rsid w:val="009B49FC"/>
    <w:rsid w:val="009B5740"/>
    <w:rsid w:val="009B63D3"/>
    <w:rsid w:val="009B6824"/>
    <w:rsid w:val="009B6852"/>
    <w:rsid w:val="009B70FC"/>
    <w:rsid w:val="009B7F70"/>
    <w:rsid w:val="009C0272"/>
    <w:rsid w:val="009C0864"/>
    <w:rsid w:val="009C0B6E"/>
    <w:rsid w:val="009C0E7B"/>
    <w:rsid w:val="009C15C9"/>
    <w:rsid w:val="009C17BD"/>
    <w:rsid w:val="009C1ADE"/>
    <w:rsid w:val="009C2365"/>
    <w:rsid w:val="009C2721"/>
    <w:rsid w:val="009C2ADB"/>
    <w:rsid w:val="009C2D56"/>
    <w:rsid w:val="009C2D89"/>
    <w:rsid w:val="009C327E"/>
    <w:rsid w:val="009C3555"/>
    <w:rsid w:val="009C376A"/>
    <w:rsid w:val="009C3A39"/>
    <w:rsid w:val="009C3C71"/>
    <w:rsid w:val="009C3D7F"/>
    <w:rsid w:val="009C3D8B"/>
    <w:rsid w:val="009C3DD0"/>
    <w:rsid w:val="009C486C"/>
    <w:rsid w:val="009C4BB0"/>
    <w:rsid w:val="009C5059"/>
    <w:rsid w:val="009C58DA"/>
    <w:rsid w:val="009C5A15"/>
    <w:rsid w:val="009C5BDF"/>
    <w:rsid w:val="009C5E73"/>
    <w:rsid w:val="009C5F40"/>
    <w:rsid w:val="009C5F47"/>
    <w:rsid w:val="009C64DF"/>
    <w:rsid w:val="009C67DF"/>
    <w:rsid w:val="009C71E5"/>
    <w:rsid w:val="009C762F"/>
    <w:rsid w:val="009C7D1E"/>
    <w:rsid w:val="009C7F0C"/>
    <w:rsid w:val="009D1091"/>
    <w:rsid w:val="009D11E9"/>
    <w:rsid w:val="009D1233"/>
    <w:rsid w:val="009D1465"/>
    <w:rsid w:val="009D31B2"/>
    <w:rsid w:val="009D31F1"/>
    <w:rsid w:val="009D38F7"/>
    <w:rsid w:val="009D3F9C"/>
    <w:rsid w:val="009D46F9"/>
    <w:rsid w:val="009D51E2"/>
    <w:rsid w:val="009D5991"/>
    <w:rsid w:val="009D5BAB"/>
    <w:rsid w:val="009D5E96"/>
    <w:rsid w:val="009D65A8"/>
    <w:rsid w:val="009D66C1"/>
    <w:rsid w:val="009D692A"/>
    <w:rsid w:val="009D697D"/>
    <w:rsid w:val="009D6B38"/>
    <w:rsid w:val="009D72E5"/>
    <w:rsid w:val="009D74FE"/>
    <w:rsid w:val="009D7512"/>
    <w:rsid w:val="009D75B2"/>
    <w:rsid w:val="009D7A61"/>
    <w:rsid w:val="009D7BB1"/>
    <w:rsid w:val="009D7BFB"/>
    <w:rsid w:val="009D7F2E"/>
    <w:rsid w:val="009E09B8"/>
    <w:rsid w:val="009E0AD7"/>
    <w:rsid w:val="009E150F"/>
    <w:rsid w:val="009E2551"/>
    <w:rsid w:val="009E2A2F"/>
    <w:rsid w:val="009E2DCB"/>
    <w:rsid w:val="009E3F76"/>
    <w:rsid w:val="009E530B"/>
    <w:rsid w:val="009E61E1"/>
    <w:rsid w:val="009E7998"/>
    <w:rsid w:val="009E79ED"/>
    <w:rsid w:val="009E7CC0"/>
    <w:rsid w:val="009E7E31"/>
    <w:rsid w:val="009F01DF"/>
    <w:rsid w:val="009F0421"/>
    <w:rsid w:val="009F1375"/>
    <w:rsid w:val="009F165E"/>
    <w:rsid w:val="009F1810"/>
    <w:rsid w:val="009F1B83"/>
    <w:rsid w:val="009F2015"/>
    <w:rsid w:val="009F24CD"/>
    <w:rsid w:val="009F433E"/>
    <w:rsid w:val="009F4409"/>
    <w:rsid w:val="009F4961"/>
    <w:rsid w:val="009F583A"/>
    <w:rsid w:val="009F6E6B"/>
    <w:rsid w:val="009F6F32"/>
    <w:rsid w:val="009F7632"/>
    <w:rsid w:val="009F76BD"/>
    <w:rsid w:val="009F7EC7"/>
    <w:rsid w:val="00A0009E"/>
    <w:rsid w:val="00A00E10"/>
    <w:rsid w:val="00A00ECB"/>
    <w:rsid w:val="00A011BC"/>
    <w:rsid w:val="00A017E3"/>
    <w:rsid w:val="00A0197A"/>
    <w:rsid w:val="00A01F44"/>
    <w:rsid w:val="00A02E7C"/>
    <w:rsid w:val="00A0354D"/>
    <w:rsid w:val="00A03777"/>
    <w:rsid w:val="00A037A1"/>
    <w:rsid w:val="00A03C39"/>
    <w:rsid w:val="00A04C4F"/>
    <w:rsid w:val="00A04C55"/>
    <w:rsid w:val="00A04E50"/>
    <w:rsid w:val="00A0511F"/>
    <w:rsid w:val="00A0528E"/>
    <w:rsid w:val="00A05C21"/>
    <w:rsid w:val="00A0649B"/>
    <w:rsid w:val="00A065C7"/>
    <w:rsid w:val="00A07115"/>
    <w:rsid w:val="00A0732E"/>
    <w:rsid w:val="00A07466"/>
    <w:rsid w:val="00A07793"/>
    <w:rsid w:val="00A11895"/>
    <w:rsid w:val="00A118E6"/>
    <w:rsid w:val="00A1197A"/>
    <w:rsid w:val="00A12879"/>
    <w:rsid w:val="00A133AE"/>
    <w:rsid w:val="00A13403"/>
    <w:rsid w:val="00A1347D"/>
    <w:rsid w:val="00A1366A"/>
    <w:rsid w:val="00A13D09"/>
    <w:rsid w:val="00A14585"/>
    <w:rsid w:val="00A14682"/>
    <w:rsid w:val="00A1477F"/>
    <w:rsid w:val="00A14EA1"/>
    <w:rsid w:val="00A16121"/>
    <w:rsid w:val="00A162A7"/>
    <w:rsid w:val="00A20980"/>
    <w:rsid w:val="00A20AD2"/>
    <w:rsid w:val="00A20AF7"/>
    <w:rsid w:val="00A20EAA"/>
    <w:rsid w:val="00A215A9"/>
    <w:rsid w:val="00A217A4"/>
    <w:rsid w:val="00A221C0"/>
    <w:rsid w:val="00A22C97"/>
    <w:rsid w:val="00A23553"/>
    <w:rsid w:val="00A236E1"/>
    <w:rsid w:val="00A245E4"/>
    <w:rsid w:val="00A25206"/>
    <w:rsid w:val="00A2602F"/>
    <w:rsid w:val="00A263B6"/>
    <w:rsid w:val="00A263ED"/>
    <w:rsid w:val="00A26690"/>
    <w:rsid w:val="00A2697A"/>
    <w:rsid w:val="00A26E08"/>
    <w:rsid w:val="00A27700"/>
    <w:rsid w:val="00A277C3"/>
    <w:rsid w:val="00A300E2"/>
    <w:rsid w:val="00A3015F"/>
    <w:rsid w:val="00A30BCB"/>
    <w:rsid w:val="00A30C49"/>
    <w:rsid w:val="00A30D68"/>
    <w:rsid w:val="00A30E89"/>
    <w:rsid w:val="00A31773"/>
    <w:rsid w:val="00A31914"/>
    <w:rsid w:val="00A31B6A"/>
    <w:rsid w:val="00A33F1D"/>
    <w:rsid w:val="00A340E6"/>
    <w:rsid w:val="00A343E0"/>
    <w:rsid w:val="00A34405"/>
    <w:rsid w:val="00A3487F"/>
    <w:rsid w:val="00A34D4B"/>
    <w:rsid w:val="00A3586F"/>
    <w:rsid w:val="00A359E3"/>
    <w:rsid w:val="00A36085"/>
    <w:rsid w:val="00A36639"/>
    <w:rsid w:val="00A366CD"/>
    <w:rsid w:val="00A36CFC"/>
    <w:rsid w:val="00A3705E"/>
    <w:rsid w:val="00A3744C"/>
    <w:rsid w:val="00A4037F"/>
    <w:rsid w:val="00A40BCD"/>
    <w:rsid w:val="00A40F72"/>
    <w:rsid w:val="00A4122F"/>
    <w:rsid w:val="00A42078"/>
    <w:rsid w:val="00A42673"/>
    <w:rsid w:val="00A42705"/>
    <w:rsid w:val="00A42AF2"/>
    <w:rsid w:val="00A42C68"/>
    <w:rsid w:val="00A42EA9"/>
    <w:rsid w:val="00A438E8"/>
    <w:rsid w:val="00A43B01"/>
    <w:rsid w:val="00A43B5B"/>
    <w:rsid w:val="00A443EA"/>
    <w:rsid w:val="00A446AC"/>
    <w:rsid w:val="00A44A38"/>
    <w:rsid w:val="00A44C00"/>
    <w:rsid w:val="00A44D74"/>
    <w:rsid w:val="00A45A20"/>
    <w:rsid w:val="00A46444"/>
    <w:rsid w:val="00A46EDB"/>
    <w:rsid w:val="00A476F6"/>
    <w:rsid w:val="00A478D9"/>
    <w:rsid w:val="00A47903"/>
    <w:rsid w:val="00A47AE8"/>
    <w:rsid w:val="00A526D9"/>
    <w:rsid w:val="00A527F7"/>
    <w:rsid w:val="00A529BE"/>
    <w:rsid w:val="00A52D88"/>
    <w:rsid w:val="00A53B44"/>
    <w:rsid w:val="00A53E6D"/>
    <w:rsid w:val="00A540FB"/>
    <w:rsid w:val="00A543E6"/>
    <w:rsid w:val="00A54F2B"/>
    <w:rsid w:val="00A54F92"/>
    <w:rsid w:val="00A5517D"/>
    <w:rsid w:val="00A5540F"/>
    <w:rsid w:val="00A558B4"/>
    <w:rsid w:val="00A55A75"/>
    <w:rsid w:val="00A55B55"/>
    <w:rsid w:val="00A55E8C"/>
    <w:rsid w:val="00A56296"/>
    <w:rsid w:val="00A56FE4"/>
    <w:rsid w:val="00A577C0"/>
    <w:rsid w:val="00A57A0F"/>
    <w:rsid w:val="00A57C2A"/>
    <w:rsid w:val="00A57C40"/>
    <w:rsid w:val="00A57D06"/>
    <w:rsid w:val="00A57EC7"/>
    <w:rsid w:val="00A601A9"/>
    <w:rsid w:val="00A6021C"/>
    <w:rsid w:val="00A6032A"/>
    <w:rsid w:val="00A606FB"/>
    <w:rsid w:val="00A60C39"/>
    <w:rsid w:val="00A61383"/>
    <w:rsid w:val="00A613B4"/>
    <w:rsid w:val="00A61A95"/>
    <w:rsid w:val="00A61E5B"/>
    <w:rsid w:val="00A61F15"/>
    <w:rsid w:val="00A6236D"/>
    <w:rsid w:val="00A624E1"/>
    <w:rsid w:val="00A6298B"/>
    <w:rsid w:val="00A62C93"/>
    <w:rsid w:val="00A6360B"/>
    <w:rsid w:val="00A63E3D"/>
    <w:rsid w:val="00A64AE7"/>
    <w:rsid w:val="00A64F31"/>
    <w:rsid w:val="00A65901"/>
    <w:rsid w:val="00A65FBC"/>
    <w:rsid w:val="00A661BD"/>
    <w:rsid w:val="00A662EA"/>
    <w:rsid w:val="00A6670C"/>
    <w:rsid w:val="00A66F3B"/>
    <w:rsid w:val="00A6710B"/>
    <w:rsid w:val="00A67367"/>
    <w:rsid w:val="00A675C9"/>
    <w:rsid w:val="00A67DA4"/>
    <w:rsid w:val="00A7007B"/>
    <w:rsid w:val="00A70392"/>
    <w:rsid w:val="00A70A48"/>
    <w:rsid w:val="00A70A49"/>
    <w:rsid w:val="00A71032"/>
    <w:rsid w:val="00A71A55"/>
    <w:rsid w:val="00A72469"/>
    <w:rsid w:val="00A724E4"/>
    <w:rsid w:val="00A72567"/>
    <w:rsid w:val="00A7290E"/>
    <w:rsid w:val="00A7384C"/>
    <w:rsid w:val="00A74587"/>
    <w:rsid w:val="00A74CC1"/>
    <w:rsid w:val="00A75079"/>
    <w:rsid w:val="00A75A44"/>
    <w:rsid w:val="00A75C85"/>
    <w:rsid w:val="00A75EFA"/>
    <w:rsid w:val="00A769AA"/>
    <w:rsid w:val="00A76BE9"/>
    <w:rsid w:val="00A773A7"/>
    <w:rsid w:val="00A777C9"/>
    <w:rsid w:val="00A77EE6"/>
    <w:rsid w:val="00A80DAA"/>
    <w:rsid w:val="00A80ECA"/>
    <w:rsid w:val="00A81608"/>
    <w:rsid w:val="00A8199A"/>
    <w:rsid w:val="00A827A9"/>
    <w:rsid w:val="00A82A5D"/>
    <w:rsid w:val="00A83284"/>
    <w:rsid w:val="00A843A5"/>
    <w:rsid w:val="00A84709"/>
    <w:rsid w:val="00A85FC6"/>
    <w:rsid w:val="00A86119"/>
    <w:rsid w:val="00A863C1"/>
    <w:rsid w:val="00A869AD"/>
    <w:rsid w:val="00A906CC"/>
    <w:rsid w:val="00A90742"/>
    <w:rsid w:val="00A90A36"/>
    <w:rsid w:val="00A90DD1"/>
    <w:rsid w:val="00A921B6"/>
    <w:rsid w:val="00A9244D"/>
    <w:rsid w:val="00A92CA0"/>
    <w:rsid w:val="00A9302A"/>
    <w:rsid w:val="00A930BB"/>
    <w:rsid w:val="00A9315C"/>
    <w:rsid w:val="00A934EF"/>
    <w:rsid w:val="00A93781"/>
    <w:rsid w:val="00A938D8"/>
    <w:rsid w:val="00A93F71"/>
    <w:rsid w:val="00A95302"/>
    <w:rsid w:val="00A954CE"/>
    <w:rsid w:val="00A95820"/>
    <w:rsid w:val="00A95D3A"/>
    <w:rsid w:val="00A95EDA"/>
    <w:rsid w:val="00A96471"/>
    <w:rsid w:val="00A96571"/>
    <w:rsid w:val="00A969DD"/>
    <w:rsid w:val="00A96A24"/>
    <w:rsid w:val="00A96B4C"/>
    <w:rsid w:val="00A96DC5"/>
    <w:rsid w:val="00A96F87"/>
    <w:rsid w:val="00AA03A7"/>
    <w:rsid w:val="00AA079A"/>
    <w:rsid w:val="00AA14F9"/>
    <w:rsid w:val="00AA1E6D"/>
    <w:rsid w:val="00AA1F90"/>
    <w:rsid w:val="00AA2CC9"/>
    <w:rsid w:val="00AA302C"/>
    <w:rsid w:val="00AA30D8"/>
    <w:rsid w:val="00AA32F7"/>
    <w:rsid w:val="00AA3378"/>
    <w:rsid w:val="00AA3649"/>
    <w:rsid w:val="00AA390B"/>
    <w:rsid w:val="00AA3CE5"/>
    <w:rsid w:val="00AA3D16"/>
    <w:rsid w:val="00AA4074"/>
    <w:rsid w:val="00AA4514"/>
    <w:rsid w:val="00AA513E"/>
    <w:rsid w:val="00AA5267"/>
    <w:rsid w:val="00AA52A2"/>
    <w:rsid w:val="00AA5535"/>
    <w:rsid w:val="00AA674D"/>
    <w:rsid w:val="00AA7D91"/>
    <w:rsid w:val="00AB0617"/>
    <w:rsid w:val="00AB0F33"/>
    <w:rsid w:val="00AB107A"/>
    <w:rsid w:val="00AB121A"/>
    <w:rsid w:val="00AB16D1"/>
    <w:rsid w:val="00AB271F"/>
    <w:rsid w:val="00AB287C"/>
    <w:rsid w:val="00AB2913"/>
    <w:rsid w:val="00AB38D1"/>
    <w:rsid w:val="00AB39C6"/>
    <w:rsid w:val="00AB3CC9"/>
    <w:rsid w:val="00AB4277"/>
    <w:rsid w:val="00AB51EF"/>
    <w:rsid w:val="00AB562F"/>
    <w:rsid w:val="00AB5C71"/>
    <w:rsid w:val="00AB60ED"/>
    <w:rsid w:val="00AB645C"/>
    <w:rsid w:val="00AB64FD"/>
    <w:rsid w:val="00AB71D2"/>
    <w:rsid w:val="00AB7F9C"/>
    <w:rsid w:val="00AC02B0"/>
    <w:rsid w:val="00AC0336"/>
    <w:rsid w:val="00AC0752"/>
    <w:rsid w:val="00AC118F"/>
    <w:rsid w:val="00AC140D"/>
    <w:rsid w:val="00AC159B"/>
    <w:rsid w:val="00AC1669"/>
    <w:rsid w:val="00AC19D5"/>
    <w:rsid w:val="00AC2F13"/>
    <w:rsid w:val="00AC3368"/>
    <w:rsid w:val="00AC39CD"/>
    <w:rsid w:val="00AC39DD"/>
    <w:rsid w:val="00AC3AE5"/>
    <w:rsid w:val="00AC5482"/>
    <w:rsid w:val="00AC5C5A"/>
    <w:rsid w:val="00AC5D36"/>
    <w:rsid w:val="00AC61D6"/>
    <w:rsid w:val="00AC6A77"/>
    <w:rsid w:val="00AC727A"/>
    <w:rsid w:val="00AC73B1"/>
    <w:rsid w:val="00AD021F"/>
    <w:rsid w:val="00AD02AC"/>
    <w:rsid w:val="00AD11DE"/>
    <w:rsid w:val="00AD14F7"/>
    <w:rsid w:val="00AD16E2"/>
    <w:rsid w:val="00AD1B69"/>
    <w:rsid w:val="00AD1F2A"/>
    <w:rsid w:val="00AD217F"/>
    <w:rsid w:val="00AD236B"/>
    <w:rsid w:val="00AD260F"/>
    <w:rsid w:val="00AD2F15"/>
    <w:rsid w:val="00AD32A7"/>
    <w:rsid w:val="00AD3804"/>
    <w:rsid w:val="00AD421A"/>
    <w:rsid w:val="00AD4405"/>
    <w:rsid w:val="00AD54EF"/>
    <w:rsid w:val="00AD5520"/>
    <w:rsid w:val="00AD61C8"/>
    <w:rsid w:val="00AD62FF"/>
    <w:rsid w:val="00AD656C"/>
    <w:rsid w:val="00AD6C15"/>
    <w:rsid w:val="00AD6D3E"/>
    <w:rsid w:val="00AD6DB2"/>
    <w:rsid w:val="00AD6FFB"/>
    <w:rsid w:val="00AD7674"/>
    <w:rsid w:val="00AE0D61"/>
    <w:rsid w:val="00AE3B56"/>
    <w:rsid w:val="00AE504A"/>
    <w:rsid w:val="00AE51B5"/>
    <w:rsid w:val="00AE5475"/>
    <w:rsid w:val="00AE5541"/>
    <w:rsid w:val="00AE59F9"/>
    <w:rsid w:val="00AE5DD4"/>
    <w:rsid w:val="00AE621B"/>
    <w:rsid w:val="00AE62E0"/>
    <w:rsid w:val="00AE67C7"/>
    <w:rsid w:val="00AE6999"/>
    <w:rsid w:val="00AE6A82"/>
    <w:rsid w:val="00AE76D7"/>
    <w:rsid w:val="00AE7932"/>
    <w:rsid w:val="00AF0649"/>
    <w:rsid w:val="00AF07AE"/>
    <w:rsid w:val="00AF0E93"/>
    <w:rsid w:val="00AF1DDA"/>
    <w:rsid w:val="00AF2068"/>
    <w:rsid w:val="00AF2128"/>
    <w:rsid w:val="00AF271B"/>
    <w:rsid w:val="00AF2783"/>
    <w:rsid w:val="00AF2D2A"/>
    <w:rsid w:val="00AF31D9"/>
    <w:rsid w:val="00AF3308"/>
    <w:rsid w:val="00AF579E"/>
    <w:rsid w:val="00AF5898"/>
    <w:rsid w:val="00AF5A46"/>
    <w:rsid w:val="00AF5D7B"/>
    <w:rsid w:val="00AF5E7E"/>
    <w:rsid w:val="00AF625B"/>
    <w:rsid w:val="00AF63A1"/>
    <w:rsid w:val="00AF67B9"/>
    <w:rsid w:val="00AF6AB7"/>
    <w:rsid w:val="00AF747A"/>
    <w:rsid w:val="00AF7E62"/>
    <w:rsid w:val="00B000C8"/>
    <w:rsid w:val="00B00DBC"/>
    <w:rsid w:val="00B02215"/>
    <w:rsid w:val="00B0229D"/>
    <w:rsid w:val="00B0230B"/>
    <w:rsid w:val="00B02D66"/>
    <w:rsid w:val="00B02D7D"/>
    <w:rsid w:val="00B02F25"/>
    <w:rsid w:val="00B03CFF"/>
    <w:rsid w:val="00B04197"/>
    <w:rsid w:val="00B041CC"/>
    <w:rsid w:val="00B046D3"/>
    <w:rsid w:val="00B04D9A"/>
    <w:rsid w:val="00B053A8"/>
    <w:rsid w:val="00B057EC"/>
    <w:rsid w:val="00B05D84"/>
    <w:rsid w:val="00B067F2"/>
    <w:rsid w:val="00B06967"/>
    <w:rsid w:val="00B069B3"/>
    <w:rsid w:val="00B06A91"/>
    <w:rsid w:val="00B072A2"/>
    <w:rsid w:val="00B077B3"/>
    <w:rsid w:val="00B07874"/>
    <w:rsid w:val="00B07E1C"/>
    <w:rsid w:val="00B07E1F"/>
    <w:rsid w:val="00B07E71"/>
    <w:rsid w:val="00B1004C"/>
    <w:rsid w:val="00B10125"/>
    <w:rsid w:val="00B10815"/>
    <w:rsid w:val="00B10B02"/>
    <w:rsid w:val="00B10B57"/>
    <w:rsid w:val="00B10F57"/>
    <w:rsid w:val="00B11907"/>
    <w:rsid w:val="00B11BA1"/>
    <w:rsid w:val="00B11F8A"/>
    <w:rsid w:val="00B12064"/>
    <w:rsid w:val="00B1250B"/>
    <w:rsid w:val="00B12FE6"/>
    <w:rsid w:val="00B13351"/>
    <w:rsid w:val="00B135B8"/>
    <w:rsid w:val="00B135CB"/>
    <w:rsid w:val="00B139AC"/>
    <w:rsid w:val="00B13A8A"/>
    <w:rsid w:val="00B142B7"/>
    <w:rsid w:val="00B144BC"/>
    <w:rsid w:val="00B149FC"/>
    <w:rsid w:val="00B1514C"/>
    <w:rsid w:val="00B15662"/>
    <w:rsid w:val="00B1596C"/>
    <w:rsid w:val="00B15D6B"/>
    <w:rsid w:val="00B1645B"/>
    <w:rsid w:val="00B16C0F"/>
    <w:rsid w:val="00B17C55"/>
    <w:rsid w:val="00B17D26"/>
    <w:rsid w:val="00B20128"/>
    <w:rsid w:val="00B2052F"/>
    <w:rsid w:val="00B206D2"/>
    <w:rsid w:val="00B20B71"/>
    <w:rsid w:val="00B2143A"/>
    <w:rsid w:val="00B218B0"/>
    <w:rsid w:val="00B2207C"/>
    <w:rsid w:val="00B2255B"/>
    <w:rsid w:val="00B230A4"/>
    <w:rsid w:val="00B23127"/>
    <w:rsid w:val="00B235F5"/>
    <w:rsid w:val="00B2372B"/>
    <w:rsid w:val="00B24129"/>
    <w:rsid w:val="00B24148"/>
    <w:rsid w:val="00B243EA"/>
    <w:rsid w:val="00B25002"/>
    <w:rsid w:val="00B255A7"/>
    <w:rsid w:val="00B2605A"/>
    <w:rsid w:val="00B27292"/>
    <w:rsid w:val="00B279A5"/>
    <w:rsid w:val="00B27C7A"/>
    <w:rsid w:val="00B30996"/>
    <w:rsid w:val="00B30ADF"/>
    <w:rsid w:val="00B31580"/>
    <w:rsid w:val="00B31913"/>
    <w:rsid w:val="00B32268"/>
    <w:rsid w:val="00B330F6"/>
    <w:rsid w:val="00B33473"/>
    <w:rsid w:val="00B33A10"/>
    <w:rsid w:val="00B33E79"/>
    <w:rsid w:val="00B34A4F"/>
    <w:rsid w:val="00B34B4D"/>
    <w:rsid w:val="00B34D97"/>
    <w:rsid w:val="00B35391"/>
    <w:rsid w:val="00B35599"/>
    <w:rsid w:val="00B3724C"/>
    <w:rsid w:val="00B3728C"/>
    <w:rsid w:val="00B375A6"/>
    <w:rsid w:val="00B37E3B"/>
    <w:rsid w:val="00B40150"/>
    <w:rsid w:val="00B4051D"/>
    <w:rsid w:val="00B40A24"/>
    <w:rsid w:val="00B4184F"/>
    <w:rsid w:val="00B418FF"/>
    <w:rsid w:val="00B41B07"/>
    <w:rsid w:val="00B41DE4"/>
    <w:rsid w:val="00B423F0"/>
    <w:rsid w:val="00B423F7"/>
    <w:rsid w:val="00B4267B"/>
    <w:rsid w:val="00B43692"/>
    <w:rsid w:val="00B43CF7"/>
    <w:rsid w:val="00B446F8"/>
    <w:rsid w:val="00B44801"/>
    <w:rsid w:val="00B44BB1"/>
    <w:rsid w:val="00B44EB6"/>
    <w:rsid w:val="00B44F44"/>
    <w:rsid w:val="00B45765"/>
    <w:rsid w:val="00B45ECC"/>
    <w:rsid w:val="00B46095"/>
    <w:rsid w:val="00B46178"/>
    <w:rsid w:val="00B46C1C"/>
    <w:rsid w:val="00B46E19"/>
    <w:rsid w:val="00B502F6"/>
    <w:rsid w:val="00B50AD8"/>
    <w:rsid w:val="00B50B4B"/>
    <w:rsid w:val="00B5147B"/>
    <w:rsid w:val="00B51F6A"/>
    <w:rsid w:val="00B53C41"/>
    <w:rsid w:val="00B53F6A"/>
    <w:rsid w:val="00B5476C"/>
    <w:rsid w:val="00B54982"/>
    <w:rsid w:val="00B54C5D"/>
    <w:rsid w:val="00B54CB0"/>
    <w:rsid w:val="00B54EC5"/>
    <w:rsid w:val="00B56CA1"/>
    <w:rsid w:val="00B5722B"/>
    <w:rsid w:val="00B5735C"/>
    <w:rsid w:val="00B5782E"/>
    <w:rsid w:val="00B60C95"/>
    <w:rsid w:val="00B60CB3"/>
    <w:rsid w:val="00B60F13"/>
    <w:rsid w:val="00B612EC"/>
    <w:rsid w:val="00B6185D"/>
    <w:rsid w:val="00B61C03"/>
    <w:rsid w:val="00B62A19"/>
    <w:rsid w:val="00B63B09"/>
    <w:rsid w:val="00B63D5D"/>
    <w:rsid w:val="00B63EA6"/>
    <w:rsid w:val="00B64333"/>
    <w:rsid w:val="00B65312"/>
    <w:rsid w:val="00B65478"/>
    <w:rsid w:val="00B65B47"/>
    <w:rsid w:val="00B661FC"/>
    <w:rsid w:val="00B6638D"/>
    <w:rsid w:val="00B663AF"/>
    <w:rsid w:val="00B6686A"/>
    <w:rsid w:val="00B6741C"/>
    <w:rsid w:val="00B6794A"/>
    <w:rsid w:val="00B67AE3"/>
    <w:rsid w:val="00B67E97"/>
    <w:rsid w:val="00B67EB7"/>
    <w:rsid w:val="00B704FE"/>
    <w:rsid w:val="00B70767"/>
    <w:rsid w:val="00B709C0"/>
    <w:rsid w:val="00B70BEA"/>
    <w:rsid w:val="00B714D5"/>
    <w:rsid w:val="00B71757"/>
    <w:rsid w:val="00B71E41"/>
    <w:rsid w:val="00B71FC4"/>
    <w:rsid w:val="00B72054"/>
    <w:rsid w:val="00B722CC"/>
    <w:rsid w:val="00B7267D"/>
    <w:rsid w:val="00B740CF"/>
    <w:rsid w:val="00B7462B"/>
    <w:rsid w:val="00B76089"/>
    <w:rsid w:val="00B76B11"/>
    <w:rsid w:val="00B76D0B"/>
    <w:rsid w:val="00B76E46"/>
    <w:rsid w:val="00B77200"/>
    <w:rsid w:val="00B777AA"/>
    <w:rsid w:val="00B8120F"/>
    <w:rsid w:val="00B819D2"/>
    <w:rsid w:val="00B82504"/>
    <w:rsid w:val="00B834C4"/>
    <w:rsid w:val="00B8396F"/>
    <w:rsid w:val="00B848C8"/>
    <w:rsid w:val="00B84D42"/>
    <w:rsid w:val="00B84DFF"/>
    <w:rsid w:val="00B84E3C"/>
    <w:rsid w:val="00B84FF5"/>
    <w:rsid w:val="00B851F9"/>
    <w:rsid w:val="00B8524C"/>
    <w:rsid w:val="00B85FBD"/>
    <w:rsid w:val="00B8623C"/>
    <w:rsid w:val="00B8633D"/>
    <w:rsid w:val="00B86B32"/>
    <w:rsid w:val="00B86C2A"/>
    <w:rsid w:val="00B87AC3"/>
    <w:rsid w:val="00B87F4A"/>
    <w:rsid w:val="00B90A99"/>
    <w:rsid w:val="00B90BAA"/>
    <w:rsid w:val="00B912E3"/>
    <w:rsid w:val="00B9145F"/>
    <w:rsid w:val="00B91571"/>
    <w:rsid w:val="00B926AF"/>
    <w:rsid w:val="00B92792"/>
    <w:rsid w:val="00B92D27"/>
    <w:rsid w:val="00B92E7C"/>
    <w:rsid w:val="00B9367B"/>
    <w:rsid w:val="00B93BB3"/>
    <w:rsid w:val="00B94329"/>
    <w:rsid w:val="00B9491A"/>
    <w:rsid w:val="00B94A5B"/>
    <w:rsid w:val="00B94F68"/>
    <w:rsid w:val="00B95001"/>
    <w:rsid w:val="00B9505E"/>
    <w:rsid w:val="00B9528B"/>
    <w:rsid w:val="00B9530F"/>
    <w:rsid w:val="00B95624"/>
    <w:rsid w:val="00B959AF"/>
    <w:rsid w:val="00B95F06"/>
    <w:rsid w:val="00B9688F"/>
    <w:rsid w:val="00B97C28"/>
    <w:rsid w:val="00BA0173"/>
    <w:rsid w:val="00BA0F7B"/>
    <w:rsid w:val="00BA10D0"/>
    <w:rsid w:val="00BA162C"/>
    <w:rsid w:val="00BA1F62"/>
    <w:rsid w:val="00BA24B8"/>
    <w:rsid w:val="00BA29D0"/>
    <w:rsid w:val="00BA29F9"/>
    <w:rsid w:val="00BA3A00"/>
    <w:rsid w:val="00BA3E8A"/>
    <w:rsid w:val="00BA4A61"/>
    <w:rsid w:val="00BA4DF6"/>
    <w:rsid w:val="00BA50E7"/>
    <w:rsid w:val="00BA58FC"/>
    <w:rsid w:val="00BA5D4B"/>
    <w:rsid w:val="00BA60DE"/>
    <w:rsid w:val="00BA65D4"/>
    <w:rsid w:val="00BA6880"/>
    <w:rsid w:val="00BA68BE"/>
    <w:rsid w:val="00BA6B5E"/>
    <w:rsid w:val="00BA706E"/>
    <w:rsid w:val="00BA76AE"/>
    <w:rsid w:val="00BA7EFF"/>
    <w:rsid w:val="00BB0395"/>
    <w:rsid w:val="00BB0504"/>
    <w:rsid w:val="00BB0C9E"/>
    <w:rsid w:val="00BB1C52"/>
    <w:rsid w:val="00BB1DCA"/>
    <w:rsid w:val="00BB202C"/>
    <w:rsid w:val="00BB27DA"/>
    <w:rsid w:val="00BB2A81"/>
    <w:rsid w:val="00BB35B0"/>
    <w:rsid w:val="00BB3A3D"/>
    <w:rsid w:val="00BB42A9"/>
    <w:rsid w:val="00BB43CE"/>
    <w:rsid w:val="00BB464D"/>
    <w:rsid w:val="00BB49D0"/>
    <w:rsid w:val="00BB4A59"/>
    <w:rsid w:val="00BB4C8C"/>
    <w:rsid w:val="00BB4FA9"/>
    <w:rsid w:val="00BB59EB"/>
    <w:rsid w:val="00BB67D1"/>
    <w:rsid w:val="00BB7029"/>
    <w:rsid w:val="00BB7547"/>
    <w:rsid w:val="00BB7632"/>
    <w:rsid w:val="00BB797A"/>
    <w:rsid w:val="00BB7BC5"/>
    <w:rsid w:val="00BB7D24"/>
    <w:rsid w:val="00BC02D0"/>
    <w:rsid w:val="00BC12D9"/>
    <w:rsid w:val="00BC1450"/>
    <w:rsid w:val="00BC183B"/>
    <w:rsid w:val="00BC3532"/>
    <w:rsid w:val="00BC387E"/>
    <w:rsid w:val="00BC433E"/>
    <w:rsid w:val="00BC44A9"/>
    <w:rsid w:val="00BC5256"/>
    <w:rsid w:val="00BC5385"/>
    <w:rsid w:val="00BC565B"/>
    <w:rsid w:val="00BC5CF3"/>
    <w:rsid w:val="00BC642D"/>
    <w:rsid w:val="00BC6712"/>
    <w:rsid w:val="00BC6973"/>
    <w:rsid w:val="00BC73A5"/>
    <w:rsid w:val="00BC7578"/>
    <w:rsid w:val="00BC7967"/>
    <w:rsid w:val="00BC7BCC"/>
    <w:rsid w:val="00BD06AE"/>
    <w:rsid w:val="00BD0979"/>
    <w:rsid w:val="00BD0B15"/>
    <w:rsid w:val="00BD0FB5"/>
    <w:rsid w:val="00BD1036"/>
    <w:rsid w:val="00BD195C"/>
    <w:rsid w:val="00BD2040"/>
    <w:rsid w:val="00BD213D"/>
    <w:rsid w:val="00BD2FDE"/>
    <w:rsid w:val="00BD3228"/>
    <w:rsid w:val="00BD33D5"/>
    <w:rsid w:val="00BD3DDD"/>
    <w:rsid w:val="00BD3E0B"/>
    <w:rsid w:val="00BD4A0D"/>
    <w:rsid w:val="00BD4BF6"/>
    <w:rsid w:val="00BD4D7D"/>
    <w:rsid w:val="00BD54E7"/>
    <w:rsid w:val="00BD5B91"/>
    <w:rsid w:val="00BD649F"/>
    <w:rsid w:val="00BD683D"/>
    <w:rsid w:val="00BD695C"/>
    <w:rsid w:val="00BD6B9B"/>
    <w:rsid w:val="00BD6D47"/>
    <w:rsid w:val="00BD6ED9"/>
    <w:rsid w:val="00BD7961"/>
    <w:rsid w:val="00BD7D3A"/>
    <w:rsid w:val="00BE0859"/>
    <w:rsid w:val="00BE0F3C"/>
    <w:rsid w:val="00BE153D"/>
    <w:rsid w:val="00BE175F"/>
    <w:rsid w:val="00BE1A68"/>
    <w:rsid w:val="00BE2C27"/>
    <w:rsid w:val="00BE321C"/>
    <w:rsid w:val="00BE342B"/>
    <w:rsid w:val="00BE355C"/>
    <w:rsid w:val="00BE3DC1"/>
    <w:rsid w:val="00BE3F52"/>
    <w:rsid w:val="00BE430C"/>
    <w:rsid w:val="00BE47FF"/>
    <w:rsid w:val="00BE5C17"/>
    <w:rsid w:val="00BE5F6D"/>
    <w:rsid w:val="00BE6060"/>
    <w:rsid w:val="00BE60EB"/>
    <w:rsid w:val="00BE676A"/>
    <w:rsid w:val="00BE6C15"/>
    <w:rsid w:val="00BE6CD6"/>
    <w:rsid w:val="00BE7130"/>
    <w:rsid w:val="00BE72C7"/>
    <w:rsid w:val="00BE73A2"/>
    <w:rsid w:val="00BE790D"/>
    <w:rsid w:val="00BE7A60"/>
    <w:rsid w:val="00BE7EFD"/>
    <w:rsid w:val="00BF0221"/>
    <w:rsid w:val="00BF04B4"/>
    <w:rsid w:val="00BF0A2D"/>
    <w:rsid w:val="00BF0B0A"/>
    <w:rsid w:val="00BF0FAC"/>
    <w:rsid w:val="00BF128C"/>
    <w:rsid w:val="00BF16BD"/>
    <w:rsid w:val="00BF1DED"/>
    <w:rsid w:val="00BF1E61"/>
    <w:rsid w:val="00BF2B14"/>
    <w:rsid w:val="00BF2CCB"/>
    <w:rsid w:val="00BF2FDF"/>
    <w:rsid w:val="00BF30AD"/>
    <w:rsid w:val="00BF31EA"/>
    <w:rsid w:val="00BF32A6"/>
    <w:rsid w:val="00BF3ABD"/>
    <w:rsid w:val="00BF41D8"/>
    <w:rsid w:val="00BF4319"/>
    <w:rsid w:val="00BF57A4"/>
    <w:rsid w:val="00BF5C37"/>
    <w:rsid w:val="00BF5CF6"/>
    <w:rsid w:val="00BF5D62"/>
    <w:rsid w:val="00BF6FBE"/>
    <w:rsid w:val="00C0060D"/>
    <w:rsid w:val="00C01A2C"/>
    <w:rsid w:val="00C0245F"/>
    <w:rsid w:val="00C02AB5"/>
    <w:rsid w:val="00C030DA"/>
    <w:rsid w:val="00C0415E"/>
    <w:rsid w:val="00C04174"/>
    <w:rsid w:val="00C0508E"/>
    <w:rsid w:val="00C05667"/>
    <w:rsid w:val="00C06068"/>
    <w:rsid w:val="00C06740"/>
    <w:rsid w:val="00C070C1"/>
    <w:rsid w:val="00C073D0"/>
    <w:rsid w:val="00C07EA8"/>
    <w:rsid w:val="00C07FBD"/>
    <w:rsid w:val="00C10838"/>
    <w:rsid w:val="00C1115C"/>
    <w:rsid w:val="00C11681"/>
    <w:rsid w:val="00C122AC"/>
    <w:rsid w:val="00C126E5"/>
    <w:rsid w:val="00C12D8D"/>
    <w:rsid w:val="00C12FDC"/>
    <w:rsid w:val="00C137F8"/>
    <w:rsid w:val="00C13A88"/>
    <w:rsid w:val="00C13A9D"/>
    <w:rsid w:val="00C13FC1"/>
    <w:rsid w:val="00C142C9"/>
    <w:rsid w:val="00C14E41"/>
    <w:rsid w:val="00C15678"/>
    <w:rsid w:val="00C160DE"/>
    <w:rsid w:val="00C1636A"/>
    <w:rsid w:val="00C1694C"/>
    <w:rsid w:val="00C16997"/>
    <w:rsid w:val="00C16C25"/>
    <w:rsid w:val="00C16EEF"/>
    <w:rsid w:val="00C17138"/>
    <w:rsid w:val="00C17444"/>
    <w:rsid w:val="00C1769C"/>
    <w:rsid w:val="00C178FB"/>
    <w:rsid w:val="00C20151"/>
    <w:rsid w:val="00C205D5"/>
    <w:rsid w:val="00C20A29"/>
    <w:rsid w:val="00C20F06"/>
    <w:rsid w:val="00C219DF"/>
    <w:rsid w:val="00C21A70"/>
    <w:rsid w:val="00C21E1A"/>
    <w:rsid w:val="00C220CC"/>
    <w:rsid w:val="00C2281F"/>
    <w:rsid w:val="00C22E1B"/>
    <w:rsid w:val="00C22F4B"/>
    <w:rsid w:val="00C23905"/>
    <w:rsid w:val="00C23A95"/>
    <w:rsid w:val="00C23FD9"/>
    <w:rsid w:val="00C24001"/>
    <w:rsid w:val="00C244DC"/>
    <w:rsid w:val="00C24C9A"/>
    <w:rsid w:val="00C24EBA"/>
    <w:rsid w:val="00C24F7F"/>
    <w:rsid w:val="00C2520B"/>
    <w:rsid w:val="00C25560"/>
    <w:rsid w:val="00C25615"/>
    <w:rsid w:val="00C257E8"/>
    <w:rsid w:val="00C25D3D"/>
    <w:rsid w:val="00C25E82"/>
    <w:rsid w:val="00C274F6"/>
    <w:rsid w:val="00C27561"/>
    <w:rsid w:val="00C30CAC"/>
    <w:rsid w:val="00C30E70"/>
    <w:rsid w:val="00C30F99"/>
    <w:rsid w:val="00C31059"/>
    <w:rsid w:val="00C311DB"/>
    <w:rsid w:val="00C31848"/>
    <w:rsid w:val="00C31892"/>
    <w:rsid w:val="00C31BF1"/>
    <w:rsid w:val="00C320AE"/>
    <w:rsid w:val="00C32130"/>
    <w:rsid w:val="00C32529"/>
    <w:rsid w:val="00C32961"/>
    <w:rsid w:val="00C336DD"/>
    <w:rsid w:val="00C33AA8"/>
    <w:rsid w:val="00C343E2"/>
    <w:rsid w:val="00C34FC0"/>
    <w:rsid w:val="00C35CD5"/>
    <w:rsid w:val="00C35EFA"/>
    <w:rsid w:val="00C36213"/>
    <w:rsid w:val="00C3731B"/>
    <w:rsid w:val="00C37B28"/>
    <w:rsid w:val="00C37BA7"/>
    <w:rsid w:val="00C40559"/>
    <w:rsid w:val="00C406C7"/>
    <w:rsid w:val="00C40756"/>
    <w:rsid w:val="00C40FD9"/>
    <w:rsid w:val="00C41206"/>
    <w:rsid w:val="00C41722"/>
    <w:rsid w:val="00C41F5D"/>
    <w:rsid w:val="00C44D5F"/>
    <w:rsid w:val="00C44FDB"/>
    <w:rsid w:val="00C454C4"/>
    <w:rsid w:val="00C45829"/>
    <w:rsid w:val="00C4597B"/>
    <w:rsid w:val="00C45AA5"/>
    <w:rsid w:val="00C45FD8"/>
    <w:rsid w:val="00C46629"/>
    <w:rsid w:val="00C471AA"/>
    <w:rsid w:val="00C475ED"/>
    <w:rsid w:val="00C477A6"/>
    <w:rsid w:val="00C5002A"/>
    <w:rsid w:val="00C50919"/>
    <w:rsid w:val="00C513F8"/>
    <w:rsid w:val="00C524B2"/>
    <w:rsid w:val="00C526D7"/>
    <w:rsid w:val="00C5294B"/>
    <w:rsid w:val="00C52F21"/>
    <w:rsid w:val="00C52F5B"/>
    <w:rsid w:val="00C533FE"/>
    <w:rsid w:val="00C534CC"/>
    <w:rsid w:val="00C536AD"/>
    <w:rsid w:val="00C53781"/>
    <w:rsid w:val="00C53C62"/>
    <w:rsid w:val="00C53E3C"/>
    <w:rsid w:val="00C5410F"/>
    <w:rsid w:val="00C546FC"/>
    <w:rsid w:val="00C55E62"/>
    <w:rsid w:val="00C55E7A"/>
    <w:rsid w:val="00C56909"/>
    <w:rsid w:val="00C5690D"/>
    <w:rsid w:val="00C575BE"/>
    <w:rsid w:val="00C57A65"/>
    <w:rsid w:val="00C57D0C"/>
    <w:rsid w:val="00C57ECB"/>
    <w:rsid w:val="00C57F9E"/>
    <w:rsid w:val="00C6008C"/>
    <w:rsid w:val="00C60BE0"/>
    <w:rsid w:val="00C60D9B"/>
    <w:rsid w:val="00C61A43"/>
    <w:rsid w:val="00C61C41"/>
    <w:rsid w:val="00C6219D"/>
    <w:rsid w:val="00C625BF"/>
    <w:rsid w:val="00C62918"/>
    <w:rsid w:val="00C62FF4"/>
    <w:rsid w:val="00C634A0"/>
    <w:rsid w:val="00C63A9E"/>
    <w:rsid w:val="00C63B1E"/>
    <w:rsid w:val="00C64EA3"/>
    <w:rsid w:val="00C6591E"/>
    <w:rsid w:val="00C664BD"/>
    <w:rsid w:val="00C66B86"/>
    <w:rsid w:val="00C6748F"/>
    <w:rsid w:val="00C677E7"/>
    <w:rsid w:val="00C705CF"/>
    <w:rsid w:val="00C71C78"/>
    <w:rsid w:val="00C7239C"/>
    <w:rsid w:val="00C72D4F"/>
    <w:rsid w:val="00C72FDA"/>
    <w:rsid w:val="00C732CC"/>
    <w:rsid w:val="00C73416"/>
    <w:rsid w:val="00C73921"/>
    <w:rsid w:val="00C73CCF"/>
    <w:rsid w:val="00C73DE0"/>
    <w:rsid w:val="00C73E95"/>
    <w:rsid w:val="00C7427F"/>
    <w:rsid w:val="00C7456A"/>
    <w:rsid w:val="00C74E9B"/>
    <w:rsid w:val="00C7501E"/>
    <w:rsid w:val="00C755C7"/>
    <w:rsid w:val="00C7583F"/>
    <w:rsid w:val="00C76498"/>
    <w:rsid w:val="00C7664D"/>
    <w:rsid w:val="00C7693A"/>
    <w:rsid w:val="00C76D7B"/>
    <w:rsid w:val="00C76DD8"/>
    <w:rsid w:val="00C771BD"/>
    <w:rsid w:val="00C7724D"/>
    <w:rsid w:val="00C777F7"/>
    <w:rsid w:val="00C77A27"/>
    <w:rsid w:val="00C77C1D"/>
    <w:rsid w:val="00C77EDA"/>
    <w:rsid w:val="00C8025F"/>
    <w:rsid w:val="00C8040E"/>
    <w:rsid w:val="00C804F1"/>
    <w:rsid w:val="00C8055D"/>
    <w:rsid w:val="00C80AFC"/>
    <w:rsid w:val="00C80BBA"/>
    <w:rsid w:val="00C814F3"/>
    <w:rsid w:val="00C81CF7"/>
    <w:rsid w:val="00C826DB"/>
    <w:rsid w:val="00C82ACA"/>
    <w:rsid w:val="00C838A9"/>
    <w:rsid w:val="00C83F74"/>
    <w:rsid w:val="00C84555"/>
    <w:rsid w:val="00C84A79"/>
    <w:rsid w:val="00C84F3A"/>
    <w:rsid w:val="00C8509B"/>
    <w:rsid w:val="00C856A2"/>
    <w:rsid w:val="00C86743"/>
    <w:rsid w:val="00C8679D"/>
    <w:rsid w:val="00C875D0"/>
    <w:rsid w:val="00C876F2"/>
    <w:rsid w:val="00C87809"/>
    <w:rsid w:val="00C91464"/>
    <w:rsid w:val="00C91A83"/>
    <w:rsid w:val="00C91DD4"/>
    <w:rsid w:val="00C9215F"/>
    <w:rsid w:val="00C921F0"/>
    <w:rsid w:val="00C926A1"/>
    <w:rsid w:val="00C928AF"/>
    <w:rsid w:val="00C92A81"/>
    <w:rsid w:val="00C92C2A"/>
    <w:rsid w:val="00C92DEF"/>
    <w:rsid w:val="00C92E0F"/>
    <w:rsid w:val="00C9313A"/>
    <w:rsid w:val="00C935E1"/>
    <w:rsid w:val="00C93815"/>
    <w:rsid w:val="00C95DF5"/>
    <w:rsid w:val="00C96282"/>
    <w:rsid w:val="00C96B12"/>
    <w:rsid w:val="00C972B8"/>
    <w:rsid w:val="00C97E86"/>
    <w:rsid w:val="00CA0B87"/>
    <w:rsid w:val="00CA1939"/>
    <w:rsid w:val="00CA1BEE"/>
    <w:rsid w:val="00CA1F54"/>
    <w:rsid w:val="00CA204B"/>
    <w:rsid w:val="00CA2779"/>
    <w:rsid w:val="00CA468E"/>
    <w:rsid w:val="00CA4931"/>
    <w:rsid w:val="00CA496E"/>
    <w:rsid w:val="00CA4A3D"/>
    <w:rsid w:val="00CA5387"/>
    <w:rsid w:val="00CA5C19"/>
    <w:rsid w:val="00CA6F68"/>
    <w:rsid w:val="00CA795C"/>
    <w:rsid w:val="00CB00A4"/>
    <w:rsid w:val="00CB0AE1"/>
    <w:rsid w:val="00CB0DA5"/>
    <w:rsid w:val="00CB0E0D"/>
    <w:rsid w:val="00CB0F79"/>
    <w:rsid w:val="00CB1700"/>
    <w:rsid w:val="00CB1E19"/>
    <w:rsid w:val="00CB260B"/>
    <w:rsid w:val="00CB3580"/>
    <w:rsid w:val="00CB3C4D"/>
    <w:rsid w:val="00CB3E57"/>
    <w:rsid w:val="00CB414C"/>
    <w:rsid w:val="00CB41FE"/>
    <w:rsid w:val="00CB45D0"/>
    <w:rsid w:val="00CB4D09"/>
    <w:rsid w:val="00CB4D0B"/>
    <w:rsid w:val="00CB4DFC"/>
    <w:rsid w:val="00CB5481"/>
    <w:rsid w:val="00CB5760"/>
    <w:rsid w:val="00CB58CA"/>
    <w:rsid w:val="00CB5D95"/>
    <w:rsid w:val="00CB656C"/>
    <w:rsid w:val="00CB6C7F"/>
    <w:rsid w:val="00CB6F03"/>
    <w:rsid w:val="00CB72A0"/>
    <w:rsid w:val="00CB7A0A"/>
    <w:rsid w:val="00CC0EB5"/>
    <w:rsid w:val="00CC0F45"/>
    <w:rsid w:val="00CC119E"/>
    <w:rsid w:val="00CC14E2"/>
    <w:rsid w:val="00CC1E41"/>
    <w:rsid w:val="00CC1ED0"/>
    <w:rsid w:val="00CC23A4"/>
    <w:rsid w:val="00CC24F9"/>
    <w:rsid w:val="00CC3789"/>
    <w:rsid w:val="00CC3B3C"/>
    <w:rsid w:val="00CC4789"/>
    <w:rsid w:val="00CC4B29"/>
    <w:rsid w:val="00CC4D4C"/>
    <w:rsid w:val="00CC4D76"/>
    <w:rsid w:val="00CC502B"/>
    <w:rsid w:val="00CC52E5"/>
    <w:rsid w:val="00CC5365"/>
    <w:rsid w:val="00CC56A6"/>
    <w:rsid w:val="00CC5CC5"/>
    <w:rsid w:val="00CC5FBE"/>
    <w:rsid w:val="00CC60D2"/>
    <w:rsid w:val="00CC64F8"/>
    <w:rsid w:val="00CC6A66"/>
    <w:rsid w:val="00CC6F5A"/>
    <w:rsid w:val="00CC7139"/>
    <w:rsid w:val="00CC7313"/>
    <w:rsid w:val="00CC7489"/>
    <w:rsid w:val="00CC7E6A"/>
    <w:rsid w:val="00CD086E"/>
    <w:rsid w:val="00CD0AEB"/>
    <w:rsid w:val="00CD10E1"/>
    <w:rsid w:val="00CD11A7"/>
    <w:rsid w:val="00CD13AC"/>
    <w:rsid w:val="00CD1489"/>
    <w:rsid w:val="00CD1C11"/>
    <w:rsid w:val="00CD1DA3"/>
    <w:rsid w:val="00CD1F00"/>
    <w:rsid w:val="00CD22C6"/>
    <w:rsid w:val="00CD33BB"/>
    <w:rsid w:val="00CD44E0"/>
    <w:rsid w:val="00CD460E"/>
    <w:rsid w:val="00CD4AE5"/>
    <w:rsid w:val="00CD6019"/>
    <w:rsid w:val="00CD653A"/>
    <w:rsid w:val="00CD68AA"/>
    <w:rsid w:val="00CD708C"/>
    <w:rsid w:val="00CD770A"/>
    <w:rsid w:val="00CD7955"/>
    <w:rsid w:val="00CE07B4"/>
    <w:rsid w:val="00CE1177"/>
    <w:rsid w:val="00CE1437"/>
    <w:rsid w:val="00CE1A72"/>
    <w:rsid w:val="00CE2005"/>
    <w:rsid w:val="00CE21E9"/>
    <w:rsid w:val="00CE2623"/>
    <w:rsid w:val="00CE2CF5"/>
    <w:rsid w:val="00CE3070"/>
    <w:rsid w:val="00CE383B"/>
    <w:rsid w:val="00CE3E87"/>
    <w:rsid w:val="00CE3F0E"/>
    <w:rsid w:val="00CE41A4"/>
    <w:rsid w:val="00CE456A"/>
    <w:rsid w:val="00CE467E"/>
    <w:rsid w:val="00CE4992"/>
    <w:rsid w:val="00CE62B6"/>
    <w:rsid w:val="00CE63AF"/>
    <w:rsid w:val="00CE66F1"/>
    <w:rsid w:val="00CE7047"/>
    <w:rsid w:val="00CE7554"/>
    <w:rsid w:val="00CE792F"/>
    <w:rsid w:val="00CF03E3"/>
    <w:rsid w:val="00CF100B"/>
    <w:rsid w:val="00CF13DE"/>
    <w:rsid w:val="00CF1F17"/>
    <w:rsid w:val="00CF29CA"/>
    <w:rsid w:val="00CF2DBC"/>
    <w:rsid w:val="00CF37F1"/>
    <w:rsid w:val="00CF497F"/>
    <w:rsid w:val="00CF4DA2"/>
    <w:rsid w:val="00CF541A"/>
    <w:rsid w:val="00CF5457"/>
    <w:rsid w:val="00CF588F"/>
    <w:rsid w:val="00CF6B5F"/>
    <w:rsid w:val="00CF74C8"/>
    <w:rsid w:val="00CF74CC"/>
    <w:rsid w:val="00CF7688"/>
    <w:rsid w:val="00D00730"/>
    <w:rsid w:val="00D00D83"/>
    <w:rsid w:val="00D01087"/>
    <w:rsid w:val="00D0179E"/>
    <w:rsid w:val="00D01883"/>
    <w:rsid w:val="00D030D0"/>
    <w:rsid w:val="00D031AD"/>
    <w:rsid w:val="00D03203"/>
    <w:rsid w:val="00D037B0"/>
    <w:rsid w:val="00D03F06"/>
    <w:rsid w:val="00D0486F"/>
    <w:rsid w:val="00D04B5B"/>
    <w:rsid w:val="00D05384"/>
    <w:rsid w:val="00D05DD6"/>
    <w:rsid w:val="00D05EEB"/>
    <w:rsid w:val="00D0632D"/>
    <w:rsid w:val="00D06638"/>
    <w:rsid w:val="00D07BFB"/>
    <w:rsid w:val="00D1008C"/>
    <w:rsid w:val="00D105A2"/>
    <w:rsid w:val="00D11223"/>
    <w:rsid w:val="00D11841"/>
    <w:rsid w:val="00D11A56"/>
    <w:rsid w:val="00D11EAD"/>
    <w:rsid w:val="00D122CC"/>
    <w:rsid w:val="00D124C3"/>
    <w:rsid w:val="00D12697"/>
    <w:rsid w:val="00D12884"/>
    <w:rsid w:val="00D12F51"/>
    <w:rsid w:val="00D132FA"/>
    <w:rsid w:val="00D13D5B"/>
    <w:rsid w:val="00D13EB6"/>
    <w:rsid w:val="00D13FD7"/>
    <w:rsid w:val="00D14117"/>
    <w:rsid w:val="00D142A9"/>
    <w:rsid w:val="00D14467"/>
    <w:rsid w:val="00D14CC8"/>
    <w:rsid w:val="00D156DE"/>
    <w:rsid w:val="00D15CEA"/>
    <w:rsid w:val="00D15DF9"/>
    <w:rsid w:val="00D16E42"/>
    <w:rsid w:val="00D16F7D"/>
    <w:rsid w:val="00D20A48"/>
    <w:rsid w:val="00D20E13"/>
    <w:rsid w:val="00D21B6F"/>
    <w:rsid w:val="00D21EC2"/>
    <w:rsid w:val="00D2282C"/>
    <w:rsid w:val="00D22D3D"/>
    <w:rsid w:val="00D2420F"/>
    <w:rsid w:val="00D257CF"/>
    <w:rsid w:val="00D25837"/>
    <w:rsid w:val="00D258F7"/>
    <w:rsid w:val="00D25CB2"/>
    <w:rsid w:val="00D265D7"/>
    <w:rsid w:val="00D2698D"/>
    <w:rsid w:val="00D3018C"/>
    <w:rsid w:val="00D30329"/>
    <w:rsid w:val="00D309EC"/>
    <w:rsid w:val="00D3127C"/>
    <w:rsid w:val="00D317C6"/>
    <w:rsid w:val="00D32001"/>
    <w:rsid w:val="00D320EC"/>
    <w:rsid w:val="00D32415"/>
    <w:rsid w:val="00D326DC"/>
    <w:rsid w:val="00D329A6"/>
    <w:rsid w:val="00D33469"/>
    <w:rsid w:val="00D334BB"/>
    <w:rsid w:val="00D33F78"/>
    <w:rsid w:val="00D3578A"/>
    <w:rsid w:val="00D35DC5"/>
    <w:rsid w:val="00D360FC"/>
    <w:rsid w:val="00D36380"/>
    <w:rsid w:val="00D36DA0"/>
    <w:rsid w:val="00D36EF2"/>
    <w:rsid w:val="00D37386"/>
    <w:rsid w:val="00D37804"/>
    <w:rsid w:val="00D37992"/>
    <w:rsid w:val="00D40312"/>
    <w:rsid w:val="00D4053E"/>
    <w:rsid w:val="00D4077E"/>
    <w:rsid w:val="00D4103F"/>
    <w:rsid w:val="00D411FF"/>
    <w:rsid w:val="00D413C8"/>
    <w:rsid w:val="00D41FD5"/>
    <w:rsid w:val="00D424AC"/>
    <w:rsid w:val="00D44641"/>
    <w:rsid w:val="00D44B17"/>
    <w:rsid w:val="00D44B6C"/>
    <w:rsid w:val="00D45C82"/>
    <w:rsid w:val="00D45F9F"/>
    <w:rsid w:val="00D472C4"/>
    <w:rsid w:val="00D475B7"/>
    <w:rsid w:val="00D477D5"/>
    <w:rsid w:val="00D47A46"/>
    <w:rsid w:val="00D47AE7"/>
    <w:rsid w:val="00D47D2C"/>
    <w:rsid w:val="00D47F63"/>
    <w:rsid w:val="00D5084D"/>
    <w:rsid w:val="00D5113A"/>
    <w:rsid w:val="00D51BD1"/>
    <w:rsid w:val="00D52237"/>
    <w:rsid w:val="00D525DF"/>
    <w:rsid w:val="00D52823"/>
    <w:rsid w:val="00D53EEB"/>
    <w:rsid w:val="00D54508"/>
    <w:rsid w:val="00D54836"/>
    <w:rsid w:val="00D54DA2"/>
    <w:rsid w:val="00D55EB7"/>
    <w:rsid w:val="00D56D8B"/>
    <w:rsid w:val="00D5776E"/>
    <w:rsid w:val="00D600AE"/>
    <w:rsid w:val="00D60529"/>
    <w:rsid w:val="00D6065F"/>
    <w:rsid w:val="00D60ECC"/>
    <w:rsid w:val="00D61182"/>
    <w:rsid w:val="00D61EC5"/>
    <w:rsid w:val="00D621EB"/>
    <w:rsid w:val="00D6246C"/>
    <w:rsid w:val="00D62D59"/>
    <w:rsid w:val="00D636B6"/>
    <w:rsid w:val="00D638EE"/>
    <w:rsid w:val="00D6396F"/>
    <w:rsid w:val="00D63DCA"/>
    <w:rsid w:val="00D6457B"/>
    <w:rsid w:val="00D65134"/>
    <w:rsid w:val="00D65390"/>
    <w:rsid w:val="00D65791"/>
    <w:rsid w:val="00D65900"/>
    <w:rsid w:val="00D65D30"/>
    <w:rsid w:val="00D66004"/>
    <w:rsid w:val="00D66AA0"/>
    <w:rsid w:val="00D66B70"/>
    <w:rsid w:val="00D66FEC"/>
    <w:rsid w:val="00D6783E"/>
    <w:rsid w:val="00D67890"/>
    <w:rsid w:val="00D70D72"/>
    <w:rsid w:val="00D711B5"/>
    <w:rsid w:val="00D719FA"/>
    <w:rsid w:val="00D71ACD"/>
    <w:rsid w:val="00D71DDF"/>
    <w:rsid w:val="00D7212A"/>
    <w:rsid w:val="00D72E6C"/>
    <w:rsid w:val="00D73089"/>
    <w:rsid w:val="00D730FA"/>
    <w:rsid w:val="00D731DD"/>
    <w:rsid w:val="00D73402"/>
    <w:rsid w:val="00D7414B"/>
    <w:rsid w:val="00D74365"/>
    <w:rsid w:val="00D7443E"/>
    <w:rsid w:val="00D74443"/>
    <w:rsid w:val="00D75889"/>
    <w:rsid w:val="00D75AE4"/>
    <w:rsid w:val="00D75F42"/>
    <w:rsid w:val="00D76850"/>
    <w:rsid w:val="00D769F5"/>
    <w:rsid w:val="00D76B19"/>
    <w:rsid w:val="00D76FCA"/>
    <w:rsid w:val="00D77462"/>
    <w:rsid w:val="00D77CC4"/>
    <w:rsid w:val="00D77E36"/>
    <w:rsid w:val="00D77E37"/>
    <w:rsid w:val="00D77E68"/>
    <w:rsid w:val="00D77FF6"/>
    <w:rsid w:val="00D80065"/>
    <w:rsid w:val="00D80106"/>
    <w:rsid w:val="00D8052F"/>
    <w:rsid w:val="00D80818"/>
    <w:rsid w:val="00D80B14"/>
    <w:rsid w:val="00D80C98"/>
    <w:rsid w:val="00D80CF0"/>
    <w:rsid w:val="00D80ECA"/>
    <w:rsid w:val="00D81874"/>
    <w:rsid w:val="00D81B27"/>
    <w:rsid w:val="00D81DA9"/>
    <w:rsid w:val="00D81E39"/>
    <w:rsid w:val="00D82F34"/>
    <w:rsid w:val="00D8363C"/>
    <w:rsid w:val="00D836EE"/>
    <w:rsid w:val="00D8382A"/>
    <w:rsid w:val="00D83D85"/>
    <w:rsid w:val="00D841B9"/>
    <w:rsid w:val="00D844CB"/>
    <w:rsid w:val="00D85201"/>
    <w:rsid w:val="00D8549B"/>
    <w:rsid w:val="00D8563A"/>
    <w:rsid w:val="00D859D1"/>
    <w:rsid w:val="00D85BB2"/>
    <w:rsid w:val="00D85D20"/>
    <w:rsid w:val="00D862B6"/>
    <w:rsid w:val="00D86BC0"/>
    <w:rsid w:val="00D87082"/>
    <w:rsid w:val="00D87317"/>
    <w:rsid w:val="00D879EF"/>
    <w:rsid w:val="00D909B0"/>
    <w:rsid w:val="00D90DA5"/>
    <w:rsid w:val="00D911B3"/>
    <w:rsid w:val="00D913B1"/>
    <w:rsid w:val="00D91800"/>
    <w:rsid w:val="00D927BE"/>
    <w:rsid w:val="00D9290C"/>
    <w:rsid w:val="00D92A12"/>
    <w:rsid w:val="00D92F3D"/>
    <w:rsid w:val="00D92FC5"/>
    <w:rsid w:val="00D93892"/>
    <w:rsid w:val="00D93BAF"/>
    <w:rsid w:val="00D93D54"/>
    <w:rsid w:val="00D93E86"/>
    <w:rsid w:val="00D93F07"/>
    <w:rsid w:val="00D9433A"/>
    <w:rsid w:val="00D94374"/>
    <w:rsid w:val="00D9530D"/>
    <w:rsid w:val="00D9558A"/>
    <w:rsid w:val="00D95B85"/>
    <w:rsid w:val="00D962C2"/>
    <w:rsid w:val="00D976AB"/>
    <w:rsid w:val="00D97AC3"/>
    <w:rsid w:val="00DA06BA"/>
    <w:rsid w:val="00DA08C6"/>
    <w:rsid w:val="00DA0BC0"/>
    <w:rsid w:val="00DA1230"/>
    <w:rsid w:val="00DA1E14"/>
    <w:rsid w:val="00DA27E8"/>
    <w:rsid w:val="00DA2993"/>
    <w:rsid w:val="00DA2ACD"/>
    <w:rsid w:val="00DA2B31"/>
    <w:rsid w:val="00DA2CC6"/>
    <w:rsid w:val="00DA44ED"/>
    <w:rsid w:val="00DA459F"/>
    <w:rsid w:val="00DA50C0"/>
    <w:rsid w:val="00DA51E1"/>
    <w:rsid w:val="00DA56AE"/>
    <w:rsid w:val="00DA5EC0"/>
    <w:rsid w:val="00DA6651"/>
    <w:rsid w:val="00DA66FE"/>
    <w:rsid w:val="00DA7277"/>
    <w:rsid w:val="00DA73F6"/>
    <w:rsid w:val="00DA7A18"/>
    <w:rsid w:val="00DA7A36"/>
    <w:rsid w:val="00DA7C37"/>
    <w:rsid w:val="00DA7D3F"/>
    <w:rsid w:val="00DB0650"/>
    <w:rsid w:val="00DB0CA2"/>
    <w:rsid w:val="00DB10D7"/>
    <w:rsid w:val="00DB216C"/>
    <w:rsid w:val="00DB289D"/>
    <w:rsid w:val="00DB2D17"/>
    <w:rsid w:val="00DB2DCC"/>
    <w:rsid w:val="00DB2E69"/>
    <w:rsid w:val="00DB313E"/>
    <w:rsid w:val="00DB38F8"/>
    <w:rsid w:val="00DB4190"/>
    <w:rsid w:val="00DB424D"/>
    <w:rsid w:val="00DB4536"/>
    <w:rsid w:val="00DB4B26"/>
    <w:rsid w:val="00DB4EBE"/>
    <w:rsid w:val="00DB55CA"/>
    <w:rsid w:val="00DB573C"/>
    <w:rsid w:val="00DB5A6D"/>
    <w:rsid w:val="00DB5D88"/>
    <w:rsid w:val="00DB5D94"/>
    <w:rsid w:val="00DB6B0C"/>
    <w:rsid w:val="00DB6C79"/>
    <w:rsid w:val="00DB6CBE"/>
    <w:rsid w:val="00DB73C0"/>
    <w:rsid w:val="00DB7559"/>
    <w:rsid w:val="00DB756A"/>
    <w:rsid w:val="00DB7696"/>
    <w:rsid w:val="00DB7E7E"/>
    <w:rsid w:val="00DC138F"/>
    <w:rsid w:val="00DC28AC"/>
    <w:rsid w:val="00DC2A0D"/>
    <w:rsid w:val="00DC345F"/>
    <w:rsid w:val="00DC37C2"/>
    <w:rsid w:val="00DC3807"/>
    <w:rsid w:val="00DC38C0"/>
    <w:rsid w:val="00DC4051"/>
    <w:rsid w:val="00DC44B7"/>
    <w:rsid w:val="00DC45C8"/>
    <w:rsid w:val="00DC5674"/>
    <w:rsid w:val="00DC5788"/>
    <w:rsid w:val="00DC615D"/>
    <w:rsid w:val="00DC62B2"/>
    <w:rsid w:val="00DC6C27"/>
    <w:rsid w:val="00DC7EBB"/>
    <w:rsid w:val="00DC7F61"/>
    <w:rsid w:val="00DD01C4"/>
    <w:rsid w:val="00DD08C5"/>
    <w:rsid w:val="00DD099B"/>
    <w:rsid w:val="00DD0A6A"/>
    <w:rsid w:val="00DD0EB9"/>
    <w:rsid w:val="00DD0EBB"/>
    <w:rsid w:val="00DD17BC"/>
    <w:rsid w:val="00DD1F2F"/>
    <w:rsid w:val="00DD2219"/>
    <w:rsid w:val="00DD2721"/>
    <w:rsid w:val="00DD2ABB"/>
    <w:rsid w:val="00DD2FAE"/>
    <w:rsid w:val="00DD3475"/>
    <w:rsid w:val="00DD3640"/>
    <w:rsid w:val="00DD3946"/>
    <w:rsid w:val="00DD3A8D"/>
    <w:rsid w:val="00DD42F7"/>
    <w:rsid w:val="00DD440F"/>
    <w:rsid w:val="00DD48BF"/>
    <w:rsid w:val="00DD505B"/>
    <w:rsid w:val="00DD51D1"/>
    <w:rsid w:val="00DD5AF4"/>
    <w:rsid w:val="00DD63BE"/>
    <w:rsid w:val="00DD6CA8"/>
    <w:rsid w:val="00DD6E95"/>
    <w:rsid w:val="00DD73C9"/>
    <w:rsid w:val="00DE0208"/>
    <w:rsid w:val="00DE093B"/>
    <w:rsid w:val="00DE096C"/>
    <w:rsid w:val="00DE1345"/>
    <w:rsid w:val="00DE1B53"/>
    <w:rsid w:val="00DE1F27"/>
    <w:rsid w:val="00DE26C8"/>
    <w:rsid w:val="00DE2802"/>
    <w:rsid w:val="00DE2A57"/>
    <w:rsid w:val="00DE3814"/>
    <w:rsid w:val="00DE3B1E"/>
    <w:rsid w:val="00DE3D7F"/>
    <w:rsid w:val="00DE40F2"/>
    <w:rsid w:val="00DE4139"/>
    <w:rsid w:val="00DE4856"/>
    <w:rsid w:val="00DE4B0E"/>
    <w:rsid w:val="00DE5441"/>
    <w:rsid w:val="00DE645A"/>
    <w:rsid w:val="00DE6CCC"/>
    <w:rsid w:val="00DE705E"/>
    <w:rsid w:val="00DE7385"/>
    <w:rsid w:val="00DE7401"/>
    <w:rsid w:val="00DE77A1"/>
    <w:rsid w:val="00DE7F49"/>
    <w:rsid w:val="00DF192D"/>
    <w:rsid w:val="00DF1D73"/>
    <w:rsid w:val="00DF1E41"/>
    <w:rsid w:val="00DF26AD"/>
    <w:rsid w:val="00DF27AE"/>
    <w:rsid w:val="00DF3006"/>
    <w:rsid w:val="00DF305B"/>
    <w:rsid w:val="00DF3444"/>
    <w:rsid w:val="00DF376B"/>
    <w:rsid w:val="00DF42CC"/>
    <w:rsid w:val="00DF4748"/>
    <w:rsid w:val="00DF4AFA"/>
    <w:rsid w:val="00DF570E"/>
    <w:rsid w:val="00DF57D7"/>
    <w:rsid w:val="00DF5A64"/>
    <w:rsid w:val="00DF5C3E"/>
    <w:rsid w:val="00DF6039"/>
    <w:rsid w:val="00DF689D"/>
    <w:rsid w:val="00DF7217"/>
    <w:rsid w:val="00DF7473"/>
    <w:rsid w:val="00DF7C77"/>
    <w:rsid w:val="00DF7E5A"/>
    <w:rsid w:val="00DF7FE9"/>
    <w:rsid w:val="00E007EA"/>
    <w:rsid w:val="00E00A6C"/>
    <w:rsid w:val="00E00D0D"/>
    <w:rsid w:val="00E00E51"/>
    <w:rsid w:val="00E00EEF"/>
    <w:rsid w:val="00E00F4A"/>
    <w:rsid w:val="00E016E2"/>
    <w:rsid w:val="00E01DA6"/>
    <w:rsid w:val="00E01F6C"/>
    <w:rsid w:val="00E02431"/>
    <w:rsid w:val="00E0370D"/>
    <w:rsid w:val="00E03C37"/>
    <w:rsid w:val="00E03CDF"/>
    <w:rsid w:val="00E04605"/>
    <w:rsid w:val="00E05308"/>
    <w:rsid w:val="00E0625C"/>
    <w:rsid w:val="00E06514"/>
    <w:rsid w:val="00E06B46"/>
    <w:rsid w:val="00E079D2"/>
    <w:rsid w:val="00E10DEB"/>
    <w:rsid w:val="00E11355"/>
    <w:rsid w:val="00E11545"/>
    <w:rsid w:val="00E11741"/>
    <w:rsid w:val="00E11A8B"/>
    <w:rsid w:val="00E11F85"/>
    <w:rsid w:val="00E12274"/>
    <w:rsid w:val="00E1264F"/>
    <w:rsid w:val="00E12B1E"/>
    <w:rsid w:val="00E12C0C"/>
    <w:rsid w:val="00E1361A"/>
    <w:rsid w:val="00E14858"/>
    <w:rsid w:val="00E14A42"/>
    <w:rsid w:val="00E14F54"/>
    <w:rsid w:val="00E15352"/>
    <w:rsid w:val="00E153C6"/>
    <w:rsid w:val="00E15572"/>
    <w:rsid w:val="00E1589F"/>
    <w:rsid w:val="00E158B9"/>
    <w:rsid w:val="00E15F1E"/>
    <w:rsid w:val="00E162D9"/>
    <w:rsid w:val="00E164A4"/>
    <w:rsid w:val="00E16AAC"/>
    <w:rsid w:val="00E1724B"/>
    <w:rsid w:val="00E20254"/>
    <w:rsid w:val="00E2164C"/>
    <w:rsid w:val="00E21C82"/>
    <w:rsid w:val="00E21EFA"/>
    <w:rsid w:val="00E224B3"/>
    <w:rsid w:val="00E22824"/>
    <w:rsid w:val="00E22CF4"/>
    <w:rsid w:val="00E22CFA"/>
    <w:rsid w:val="00E233F9"/>
    <w:rsid w:val="00E235A4"/>
    <w:rsid w:val="00E23D2F"/>
    <w:rsid w:val="00E24061"/>
    <w:rsid w:val="00E2465A"/>
    <w:rsid w:val="00E24A28"/>
    <w:rsid w:val="00E24B7E"/>
    <w:rsid w:val="00E24DAD"/>
    <w:rsid w:val="00E25324"/>
    <w:rsid w:val="00E2545D"/>
    <w:rsid w:val="00E2597C"/>
    <w:rsid w:val="00E26966"/>
    <w:rsid w:val="00E26B00"/>
    <w:rsid w:val="00E26BA8"/>
    <w:rsid w:val="00E27254"/>
    <w:rsid w:val="00E27913"/>
    <w:rsid w:val="00E279E8"/>
    <w:rsid w:val="00E27F09"/>
    <w:rsid w:val="00E3000A"/>
    <w:rsid w:val="00E30D17"/>
    <w:rsid w:val="00E310AD"/>
    <w:rsid w:val="00E31F00"/>
    <w:rsid w:val="00E3314B"/>
    <w:rsid w:val="00E33AB0"/>
    <w:rsid w:val="00E33BEA"/>
    <w:rsid w:val="00E34A81"/>
    <w:rsid w:val="00E3556A"/>
    <w:rsid w:val="00E3620D"/>
    <w:rsid w:val="00E36729"/>
    <w:rsid w:val="00E36D3C"/>
    <w:rsid w:val="00E371F5"/>
    <w:rsid w:val="00E37488"/>
    <w:rsid w:val="00E37936"/>
    <w:rsid w:val="00E37CD6"/>
    <w:rsid w:val="00E37DAE"/>
    <w:rsid w:val="00E42053"/>
    <w:rsid w:val="00E42903"/>
    <w:rsid w:val="00E4302C"/>
    <w:rsid w:val="00E43A63"/>
    <w:rsid w:val="00E43D9C"/>
    <w:rsid w:val="00E44380"/>
    <w:rsid w:val="00E44978"/>
    <w:rsid w:val="00E44EBB"/>
    <w:rsid w:val="00E4556F"/>
    <w:rsid w:val="00E4561E"/>
    <w:rsid w:val="00E45A84"/>
    <w:rsid w:val="00E45B2A"/>
    <w:rsid w:val="00E46033"/>
    <w:rsid w:val="00E461B4"/>
    <w:rsid w:val="00E462C0"/>
    <w:rsid w:val="00E46D5D"/>
    <w:rsid w:val="00E471D8"/>
    <w:rsid w:val="00E4793B"/>
    <w:rsid w:val="00E47B32"/>
    <w:rsid w:val="00E503A9"/>
    <w:rsid w:val="00E504CF"/>
    <w:rsid w:val="00E509BB"/>
    <w:rsid w:val="00E50B5D"/>
    <w:rsid w:val="00E518A6"/>
    <w:rsid w:val="00E52279"/>
    <w:rsid w:val="00E52329"/>
    <w:rsid w:val="00E52D19"/>
    <w:rsid w:val="00E52DA5"/>
    <w:rsid w:val="00E53482"/>
    <w:rsid w:val="00E534BF"/>
    <w:rsid w:val="00E5356C"/>
    <w:rsid w:val="00E53CB4"/>
    <w:rsid w:val="00E54E96"/>
    <w:rsid w:val="00E54EA0"/>
    <w:rsid w:val="00E55244"/>
    <w:rsid w:val="00E55938"/>
    <w:rsid w:val="00E5791A"/>
    <w:rsid w:val="00E579CF"/>
    <w:rsid w:val="00E57A14"/>
    <w:rsid w:val="00E57E50"/>
    <w:rsid w:val="00E602FD"/>
    <w:rsid w:val="00E60735"/>
    <w:rsid w:val="00E60756"/>
    <w:rsid w:val="00E60AA0"/>
    <w:rsid w:val="00E60FE8"/>
    <w:rsid w:val="00E612C9"/>
    <w:rsid w:val="00E623E1"/>
    <w:rsid w:val="00E62579"/>
    <w:rsid w:val="00E6283A"/>
    <w:rsid w:val="00E6295F"/>
    <w:rsid w:val="00E62D9D"/>
    <w:rsid w:val="00E6360A"/>
    <w:rsid w:val="00E64412"/>
    <w:rsid w:val="00E64636"/>
    <w:rsid w:val="00E64B50"/>
    <w:rsid w:val="00E64C60"/>
    <w:rsid w:val="00E64D61"/>
    <w:rsid w:val="00E64E5D"/>
    <w:rsid w:val="00E654F1"/>
    <w:rsid w:val="00E65812"/>
    <w:rsid w:val="00E65F4A"/>
    <w:rsid w:val="00E660DE"/>
    <w:rsid w:val="00E668B9"/>
    <w:rsid w:val="00E66AD6"/>
    <w:rsid w:val="00E672F6"/>
    <w:rsid w:val="00E674B9"/>
    <w:rsid w:val="00E67AC6"/>
    <w:rsid w:val="00E67EBE"/>
    <w:rsid w:val="00E70CA9"/>
    <w:rsid w:val="00E70DA6"/>
    <w:rsid w:val="00E717EE"/>
    <w:rsid w:val="00E71945"/>
    <w:rsid w:val="00E71AD5"/>
    <w:rsid w:val="00E71F66"/>
    <w:rsid w:val="00E71F73"/>
    <w:rsid w:val="00E72561"/>
    <w:rsid w:val="00E72BEA"/>
    <w:rsid w:val="00E73380"/>
    <w:rsid w:val="00E73B5D"/>
    <w:rsid w:val="00E7515B"/>
    <w:rsid w:val="00E7559E"/>
    <w:rsid w:val="00E757B8"/>
    <w:rsid w:val="00E757F9"/>
    <w:rsid w:val="00E77824"/>
    <w:rsid w:val="00E808CD"/>
    <w:rsid w:val="00E80A0C"/>
    <w:rsid w:val="00E80F49"/>
    <w:rsid w:val="00E810D1"/>
    <w:rsid w:val="00E811CF"/>
    <w:rsid w:val="00E824A9"/>
    <w:rsid w:val="00E827D2"/>
    <w:rsid w:val="00E839D0"/>
    <w:rsid w:val="00E83A29"/>
    <w:rsid w:val="00E83B66"/>
    <w:rsid w:val="00E84642"/>
    <w:rsid w:val="00E85E43"/>
    <w:rsid w:val="00E90520"/>
    <w:rsid w:val="00E90549"/>
    <w:rsid w:val="00E90C7B"/>
    <w:rsid w:val="00E92170"/>
    <w:rsid w:val="00E9262F"/>
    <w:rsid w:val="00E92983"/>
    <w:rsid w:val="00E930AA"/>
    <w:rsid w:val="00E9353E"/>
    <w:rsid w:val="00E93975"/>
    <w:rsid w:val="00E93AF6"/>
    <w:rsid w:val="00E94253"/>
    <w:rsid w:val="00E947E7"/>
    <w:rsid w:val="00E94911"/>
    <w:rsid w:val="00E952B5"/>
    <w:rsid w:val="00E96E54"/>
    <w:rsid w:val="00E972B6"/>
    <w:rsid w:val="00E97520"/>
    <w:rsid w:val="00E9754E"/>
    <w:rsid w:val="00E97DD8"/>
    <w:rsid w:val="00E97F38"/>
    <w:rsid w:val="00EA0F38"/>
    <w:rsid w:val="00EA1139"/>
    <w:rsid w:val="00EA1469"/>
    <w:rsid w:val="00EA1DD6"/>
    <w:rsid w:val="00EA388E"/>
    <w:rsid w:val="00EA4EA9"/>
    <w:rsid w:val="00EA5063"/>
    <w:rsid w:val="00EA5171"/>
    <w:rsid w:val="00EA5C0A"/>
    <w:rsid w:val="00EA5D44"/>
    <w:rsid w:val="00EA5E0A"/>
    <w:rsid w:val="00EA6317"/>
    <w:rsid w:val="00EA6411"/>
    <w:rsid w:val="00EA6429"/>
    <w:rsid w:val="00EA6812"/>
    <w:rsid w:val="00EA6988"/>
    <w:rsid w:val="00EA6ABC"/>
    <w:rsid w:val="00EA7A84"/>
    <w:rsid w:val="00EA7DB9"/>
    <w:rsid w:val="00EB023D"/>
    <w:rsid w:val="00EB0333"/>
    <w:rsid w:val="00EB09A1"/>
    <w:rsid w:val="00EB153C"/>
    <w:rsid w:val="00EB2184"/>
    <w:rsid w:val="00EB27BA"/>
    <w:rsid w:val="00EB3201"/>
    <w:rsid w:val="00EB34C8"/>
    <w:rsid w:val="00EB3C75"/>
    <w:rsid w:val="00EB4190"/>
    <w:rsid w:val="00EB420F"/>
    <w:rsid w:val="00EB5449"/>
    <w:rsid w:val="00EB5DF0"/>
    <w:rsid w:val="00EB61EB"/>
    <w:rsid w:val="00EB6203"/>
    <w:rsid w:val="00EB6386"/>
    <w:rsid w:val="00EB6D2D"/>
    <w:rsid w:val="00EB6DF2"/>
    <w:rsid w:val="00EB6F60"/>
    <w:rsid w:val="00EB72EC"/>
    <w:rsid w:val="00EB7846"/>
    <w:rsid w:val="00EB7990"/>
    <w:rsid w:val="00EB7B41"/>
    <w:rsid w:val="00EC09F3"/>
    <w:rsid w:val="00EC1AAF"/>
    <w:rsid w:val="00EC2842"/>
    <w:rsid w:val="00EC297F"/>
    <w:rsid w:val="00EC2FEC"/>
    <w:rsid w:val="00EC32D1"/>
    <w:rsid w:val="00EC3A75"/>
    <w:rsid w:val="00EC47BB"/>
    <w:rsid w:val="00EC486F"/>
    <w:rsid w:val="00EC530B"/>
    <w:rsid w:val="00EC5330"/>
    <w:rsid w:val="00EC5682"/>
    <w:rsid w:val="00EC5FFF"/>
    <w:rsid w:val="00EC659F"/>
    <w:rsid w:val="00EC699D"/>
    <w:rsid w:val="00EC6EED"/>
    <w:rsid w:val="00EC7750"/>
    <w:rsid w:val="00EC78C2"/>
    <w:rsid w:val="00EC799D"/>
    <w:rsid w:val="00EC7A24"/>
    <w:rsid w:val="00EC7DC4"/>
    <w:rsid w:val="00ED07E8"/>
    <w:rsid w:val="00ED185C"/>
    <w:rsid w:val="00ED1A46"/>
    <w:rsid w:val="00ED1C1D"/>
    <w:rsid w:val="00ED20C0"/>
    <w:rsid w:val="00ED2B8E"/>
    <w:rsid w:val="00ED501D"/>
    <w:rsid w:val="00ED524E"/>
    <w:rsid w:val="00ED60AE"/>
    <w:rsid w:val="00ED6F07"/>
    <w:rsid w:val="00ED73CA"/>
    <w:rsid w:val="00ED7967"/>
    <w:rsid w:val="00EE04DC"/>
    <w:rsid w:val="00EE0641"/>
    <w:rsid w:val="00EE0772"/>
    <w:rsid w:val="00EE0FEB"/>
    <w:rsid w:val="00EE1237"/>
    <w:rsid w:val="00EE134A"/>
    <w:rsid w:val="00EE1DDE"/>
    <w:rsid w:val="00EE2F90"/>
    <w:rsid w:val="00EE34CD"/>
    <w:rsid w:val="00EE37D4"/>
    <w:rsid w:val="00EE3A45"/>
    <w:rsid w:val="00EE3AA5"/>
    <w:rsid w:val="00EE416F"/>
    <w:rsid w:val="00EE4544"/>
    <w:rsid w:val="00EE465F"/>
    <w:rsid w:val="00EE5192"/>
    <w:rsid w:val="00EE58CE"/>
    <w:rsid w:val="00EE5BE8"/>
    <w:rsid w:val="00EE6670"/>
    <w:rsid w:val="00EE6A5F"/>
    <w:rsid w:val="00EE7713"/>
    <w:rsid w:val="00EF1812"/>
    <w:rsid w:val="00EF220A"/>
    <w:rsid w:val="00EF3836"/>
    <w:rsid w:val="00EF3D2E"/>
    <w:rsid w:val="00EF4150"/>
    <w:rsid w:val="00EF4639"/>
    <w:rsid w:val="00EF4B12"/>
    <w:rsid w:val="00EF5138"/>
    <w:rsid w:val="00EF598D"/>
    <w:rsid w:val="00EF5C63"/>
    <w:rsid w:val="00EF5EAB"/>
    <w:rsid w:val="00EF6180"/>
    <w:rsid w:val="00EF69F5"/>
    <w:rsid w:val="00EF6B59"/>
    <w:rsid w:val="00EF6FAE"/>
    <w:rsid w:val="00EF72C0"/>
    <w:rsid w:val="00EF79EE"/>
    <w:rsid w:val="00EF7AFA"/>
    <w:rsid w:val="00EF7AFB"/>
    <w:rsid w:val="00EF7DEF"/>
    <w:rsid w:val="00F00071"/>
    <w:rsid w:val="00F00146"/>
    <w:rsid w:val="00F00228"/>
    <w:rsid w:val="00F00C21"/>
    <w:rsid w:val="00F00E33"/>
    <w:rsid w:val="00F01161"/>
    <w:rsid w:val="00F0275B"/>
    <w:rsid w:val="00F029F4"/>
    <w:rsid w:val="00F02E07"/>
    <w:rsid w:val="00F033F0"/>
    <w:rsid w:val="00F0345C"/>
    <w:rsid w:val="00F04633"/>
    <w:rsid w:val="00F048C1"/>
    <w:rsid w:val="00F04C3B"/>
    <w:rsid w:val="00F05453"/>
    <w:rsid w:val="00F071A5"/>
    <w:rsid w:val="00F07286"/>
    <w:rsid w:val="00F073A4"/>
    <w:rsid w:val="00F07678"/>
    <w:rsid w:val="00F07705"/>
    <w:rsid w:val="00F07751"/>
    <w:rsid w:val="00F1026A"/>
    <w:rsid w:val="00F102F4"/>
    <w:rsid w:val="00F107EC"/>
    <w:rsid w:val="00F10941"/>
    <w:rsid w:val="00F112BE"/>
    <w:rsid w:val="00F11376"/>
    <w:rsid w:val="00F114D0"/>
    <w:rsid w:val="00F11566"/>
    <w:rsid w:val="00F119D3"/>
    <w:rsid w:val="00F11C16"/>
    <w:rsid w:val="00F11CFB"/>
    <w:rsid w:val="00F11FFD"/>
    <w:rsid w:val="00F12384"/>
    <w:rsid w:val="00F124A6"/>
    <w:rsid w:val="00F124FE"/>
    <w:rsid w:val="00F12823"/>
    <w:rsid w:val="00F129D1"/>
    <w:rsid w:val="00F13017"/>
    <w:rsid w:val="00F1349A"/>
    <w:rsid w:val="00F13A07"/>
    <w:rsid w:val="00F142D7"/>
    <w:rsid w:val="00F148A3"/>
    <w:rsid w:val="00F149C5"/>
    <w:rsid w:val="00F14B37"/>
    <w:rsid w:val="00F14E69"/>
    <w:rsid w:val="00F14EDD"/>
    <w:rsid w:val="00F1542F"/>
    <w:rsid w:val="00F1629C"/>
    <w:rsid w:val="00F16784"/>
    <w:rsid w:val="00F16C7C"/>
    <w:rsid w:val="00F170D6"/>
    <w:rsid w:val="00F175CA"/>
    <w:rsid w:val="00F17D89"/>
    <w:rsid w:val="00F2046E"/>
    <w:rsid w:val="00F20F15"/>
    <w:rsid w:val="00F2127E"/>
    <w:rsid w:val="00F220B8"/>
    <w:rsid w:val="00F2255B"/>
    <w:rsid w:val="00F2289C"/>
    <w:rsid w:val="00F22A18"/>
    <w:rsid w:val="00F22A74"/>
    <w:rsid w:val="00F23B37"/>
    <w:rsid w:val="00F240A7"/>
    <w:rsid w:val="00F24100"/>
    <w:rsid w:val="00F24862"/>
    <w:rsid w:val="00F24970"/>
    <w:rsid w:val="00F249DA"/>
    <w:rsid w:val="00F24AFD"/>
    <w:rsid w:val="00F24E37"/>
    <w:rsid w:val="00F25425"/>
    <w:rsid w:val="00F2620D"/>
    <w:rsid w:val="00F265D2"/>
    <w:rsid w:val="00F278DE"/>
    <w:rsid w:val="00F27BCC"/>
    <w:rsid w:val="00F27DC1"/>
    <w:rsid w:val="00F3051D"/>
    <w:rsid w:val="00F30D67"/>
    <w:rsid w:val="00F30E6B"/>
    <w:rsid w:val="00F3128F"/>
    <w:rsid w:val="00F3164F"/>
    <w:rsid w:val="00F31993"/>
    <w:rsid w:val="00F31FE8"/>
    <w:rsid w:val="00F32485"/>
    <w:rsid w:val="00F32E81"/>
    <w:rsid w:val="00F33755"/>
    <w:rsid w:val="00F3398F"/>
    <w:rsid w:val="00F3402D"/>
    <w:rsid w:val="00F346B0"/>
    <w:rsid w:val="00F3478A"/>
    <w:rsid w:val="00F347BA"/>
    <w:rsid w:val="00F353A3"/>
    <w:rsid w:val="00F357D2"/>
    <w:rsid w:val="00F35EC2"/>
    <w:rsid w:val="00F3650D"/>
    <w:rsid w:val="00F3660D"/>
    <w:rsid w:val="00F368AB"/>
    <w:rsid w:val="00F3700C"/>
    <w:rsid w:val="00F37A0E"/>
    <w:rsid w:val="00F37A80"/>
    <w:rsid w:val="00F37C29"/>
    <w:rsid w:val="00F37CE5"/>
    <w:rsid w:val="00F40B36"/>
    <w:rsid w:val="00F41F54"/>
    <w:rsid w:val="00F424B6"/>
    <w:rsid w:val="00F43005"/>
    <w:rsid w:val="00F4376D"/>
    <w:rsid w:val="00F43BBC"/>
    <w:rsid w:val="00F43C10"/>
    <w:rsid w:val="00F441AE"/>
    <w:rsid w:val="00F45493"/>
    <w:rsid w:val="00F45CF5"/>
    <w:rsid w:val="00F470CF"/>
    <w:rsid w:val="00F47579"/>
    <w:rsid w:val="00F50CDE"/>
    <w:rsid w:val="00F51115"/>
    <w:rsid w:val="00F515EE"/>
    <w:rsid w:val="00F51EDB"/>
    <w:rsid w:val="00F52A51"/>
    <w:rsid w:val="00F52DBA"/>
    <w:rsid w:val="00F53504"/>
    <w:rsid w:val="00F53A12"/>
    <w:rsid w:val="00F542BE"/>
    <w:rsid w:val="00F549E3"/>
    <w:rsid w:val="00F54DF3"/>
    <w:rsid w:val="00F55F46"/>
    <w:rsid w:val="00F56192"/>
    <w:rsid w:val="00F5649C"/>
    <w:rsid w:val="00F5671A"/>
    <w:rsid w:val="00F56D5C"/>
    <w:rsid w:val="00F57F9B"/>
    <w:rsid w:val="00F57FBB"/>
    <w:rsid w:val="00F610E0"/>
    <w:rsid w:val="00F610FC"/>
    <w:rsid w:val="00F61209"/>
    <w:rsid w:val="00F617A2"/>
    <w:rsid w:val="00F617B9"/>
    <w:rsid w:val="00F6200B"/>
    <w:rsid w:val="00F62DE4"/>
    <w:rsid w:val="00F6309F"/>
    <w:rsid w:val="00F6327C"/>
    <w:rsid w:val="00F63E51"/>
    <w:rsid w:val="00F6504B"/>
    <w:rsid w:val="00F650CD"/>
    <w:rsid w:val="00F65BF0"/>
    <w:rsid w:val="00F65C6A"/>
    <w:rsid w:val="00F66495"/>
    <w:rsid w:val="00F66549"/>
    <w:rsid w:val="00F67451"/>
    <w:rsid w:val="00F67C3D"/>
    <w:rsid w:val="00F67F3E"/>
    <w:rsid w:val="00F67F82"/>
    <w:rsid w:val="00F7007B"/>
    <w:rsid w:val="00F707FC"/>
    <w:rsid w:val="00F7298E"/>
    <w:rsid w:val="00F72B2B"/>
    <w:rsid w:val="00F73831"/>
    <w:rsid w:val="00F738B9"/>
    <w:rsid w:val="00F75688"/>
    <w:rsid w:val="00F759DA"/>
    <w:rsid w:val="00F7633A"/>
    <w:rsid w:val="00F765DF"/>
    <w:rsid w:val="00F76CEA"/>
    <w:rsid w:val="00F76D83"/>
    <w:rsid w:val="00F7757C"/>
    <w:rsid w:val="00F778FB"/>
    <w:rsid w:val="00F77EFD"/>
    <w:rsid w:val="00F800B2"/>
    <w:rsid w:val="00F80103"/>
    <w:rsid w:val="00F80333"/>
    <w:rsid w:val="00F80D87"/>
    <w:rsid w:val="00F81133"/>
    <w:rsid w:val="00F811C2"/>
    <w:rsid w:val="00F823D7"/>
    <w:rsid w:val="00F824AA"/>
    <w:rsid w:val="00F82C27"/>
    <w:rsid w:val="00F82D80"/>
    <w:rsid w:val="00F84A91"/>
    <w:rsid w:val="00F84C7F"/>
    <w:rsid w:val="00F85905"/>
    <w:rsid w:val="00F85CDC"/>
    <w:rsid w:val="00F8628F"/>
    <w:rsid w:val="00F87814"/>
    <w:rsid w:val="00F87998"/>
    <w:rsid w:val="00F9173A"/>
    <w:rsid w:val="00F91EBB"/>
    <w:rsid w:val="00F93528"/>
    <w:rsid w:val="00F93777"/>
    <w:rsid w:val="00F93E0A"/>
    <w:rsid w:val="00F93EE9"/>
    <w:rsid w:val="00F941D0"/>
    <w:rsid w:val="00F94A75"/>
    <w:rsid w:val="00F951D1"/>
    <w:rsid w:val="00F9574C"/>
    <w:rsid w:val="00F95964"/>
    <w:rsid w:val="00F967D6"/>
    <w:rsid w:val="00F96D66"/>
    <w:rsid w:val="00F96F9E"/>
    <w:rsid w:val="00F97565"/>
    <w:rsid w:val="00F97F3A"/>
    <w:rsid w:val="00FA01E8"/>
    <w:rsid w:val="00FA0360"/>
    <w:rsid w:val="00FA089D"/>
    <w:rsid w:val="00FA0AC3"/>
    <w:rsid w:val="00FA128D"/>
    <w:rsid w:val="00FA17F8"/>
    <w:rsid w:val="00FA1BB8"/>
    <w:rsid w:val="00FA1F9E"/>
    <w:rsid w:val="00FA2B14"/>
    <w:rsid w:val="00FA3064"/>
    <w:rsid w:val="00FA3508"/>
    <w:rsid w:val="00FA351D"/>
    <w:rsid w:val="00FA40CD"/>
    <w:rsid w:val="00FA4380"/>
    <w:rsid w:val="00FA4A63"/>
    <w:rsid w:val="00FA51C2"/>
    <w:rsid w:val="00FA5523"/>
    <w:rsid w:val="00FA59B3"/>
    <w:rsid w:val="00FA62E2"/>
    <w:rsid w:val="00FA6302"/>
    <w:rsid w:val="00FA638E"/>
    <w:rsid w:val="00FA6646"/>
    <w:rsid w:val="00FA6DE7"/>
    <w:rsid w:val="00FA7284"/>
    <w:rsid w:val="00FA763D"/>
    <w:rsid w:val="00FB014B"/>
    <w:rsid w:val="00FB06B2"/>
    <w:rsid w:val="00FB1138"/>
    <w:rsid w:val="00FB14C8"/>
    <w:rsid w:val="00FB160E"/>
    <w:rsid w:val="00FB199C"/>
    <w:rsid w:val="00FB271A"/>
    <w:rsid w:val="00FB29DC"/>
    <w:rsid w:val="00FB2C3C"/>
    <w:rsid w:val="00FB3001"/>
    <w:rsid w:val="00FB48A4"/>
    <w:rsid w:val="00FB4F2C"/>
    <w:rsid w:val="00FB5246"/>
    <w:rsid w:val="00FB55B7"/>
    <w:rsid w:val="00FB591E"/>
    <w:rsid w:val="00FB5A00"/>
    <w:rsid w:val="00FB5B56"/>
    <w:rsid w:val="00FB60BE"/>
    <w:rsid w:val="00FB6255"/>
    <w:rsid w:val="00FB63B5"/>
    <w:rsid w:val="00FB6AAF"/>
    <w:rsid w:val="00FB77C6"/>
    <w:rsid w:val="00FB7C2C"/>
    <w:rsid w:val="00FC1032"/>
    <w:rsid w:val="00FC140C"/>
    <w:rsid w:val="00FC1595"/>
    <w:rsid w:val="00FC160F"/>
    <w:rsid w:val="00FC1DA3"/>
    <w:rsid w:val="00FC1F41"/>
    <w:rsid w:val="00FC3AB8"/>
    <w:rsid w:val="00FC3B66"/>
    <w:rsid w:val="00FC4049"/>
    <w:rsid w:val="00FC4723"/>
    <w:rsid w:val="00FC51CB"/>
    <w:rsid w:val="00FC5EF3"/>
    <w:rsid w:val="00FC5FAE"/>
    <w:rsid w:val="00FC608B"/>
    <w:rsid w:val="00FC6515"/>
    <w:rsid w:val="00FC6758"/>
    <w:rsid w:val="00FC6858"/>
    <w:rsid w:val="00FC69CF"/>
    <w:rsid w:val="00FC6CA9"/>
    <w:rsid w:val="00FC6F9A"/>
    <w:rsid w:val="00FC71B6"/>
    <w:rsid w:val="00FD04FD"/>
    <w:rsid w:val="00FD07CE"/>
    <w:rsid w:val="00FD0D7F"/>
    <w:rsid w:val="00FD0E3E"/>
    <w:rsid w:val="00FD1402"/>
    <w:rsid w:val="00FD1C04"/>
    <w:rsid w:val="00FD1CAE"/>
    <w:rsid w:val="00FD1D67"/>
    <w:rsid w:val="00FD1F92"/>
    <w:rsid w:val="00FD2719"/>
    <w:rsid w:val="00FD4F8B"/>
    <w:rsid w:val="00FD4F9F"/>
    <w:rsid w:val="00FD51A4"/>
    <w:rsid w:val="00FD5A2F"/>
    <w:rsid w:val="00FD5C9A"/>
    <w:rsid w:val="00FD6527"/>
    <w:rsid w:val="00FD6815"/>
    <w:rsid w:val="00FD6C47"/>
    <w:rsid w:val="00FD77E5"/>
    <w:rsid w:val="00FD7F51"/>
    <w:rsid w:val="00FD7FC3"/>
    <w:rsid w:val="00FE0011"/>
    <w:rsid w:val="00FE03D4"/>
    <w:rsid w:val="00FE04B6"/>
    <w:rsid w:val="00FE04DA"/>
    <w:rsid w:val="00FE09B7"/>
    <w:rsid w:val="00FE0D9A"/>
    <w:rsid w:val="00FE1109"/>
    <w:rsid w:val="00FE1B48"/>
    <w:rsid w:val="00FE310F"/>
    <w:rsid w:val="00FE3230"/>
    <w:rsid w:val="00FE3C74"/>
    <w:rsid w:val="00FE3C96"/>
    <w:rsid w:val="00FE3D8A"/>
    <w:rsid w:val="00FE3E16"/>
    <w:rsid w:val="00FE48D8"/>
    <w:rsid w:val="00FE5248"/>
    <w:rsid w:val="00FE5B95"/>
    <w:rsid w:val="00FE5EB2"/>
    <w:rsid w:val="00FE617F"/>
    <w:rsid w:val="00FE66A0"/>
    <w:rsid w:val="00FE6C58"/>
    <w:rsid w:val="00FE6D0A"/>
    <w:rsid w:val="00FE6E98"/>
    <w:rsid w:val="00FE7084"/>
    <w:rsid w:val="00FE7222"/>
    <w:rsid w:val="00FE7267"/>
    <w:rsid w:val="00FF02DA"/>
    <w:rsid w:val="00FF0A8F"/>
    <w:rsid w:val="00FF0D2D"/>
    <w:rsid w:val="00FF16E3"/>
    <w:rsid w:val="00FF17F9"/>
    <w:rsid w:val="00FF1922"/>
    <w:rsid w:val="00FF25C8"/>
    <w:rsid w:val="00FF306A"/>
    <w:rsid w:val="00FF30C2"/>
    <w:rsid w:val="00FF3299"/>
    <w:rsid w:val="00FF3467"/>
    <w:rsid w:val="00FF379A"/>
    <w:rsid w:val="00FF3944"/>
    <w:rsid w:val="00FF39D9"/>
    <w:rsid w:val="00FF4BDF"/>
    <w:rsid w:val="00FF4D97"/>
    <w:rsid w:val="00FF5221"/>
    <w:rsid w:val="00FF536B"/>
    <w:rsid w:val="00FF5BF8"/>
    <w:rsid w:val="00FF61DF"/>
    <w:rsid w:val="00FF6791"/>
    <w:rsid w:val="00FF7041"/>
    <w:rsid w:val="00FF7188"/>
    <w:rsid w:val="0E414797"/>
    <w:rsid w:val="20AF51D4"/>
    <w:rsid w:val="31C741A5"/>
    <w:rsid w:val="46C9D7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19D74F11"/>
  <w15:docId w15:val="{B1912676-6E2F-4D96-8C05-98981648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B5000"/>
    <w:pPr>
      <w:snapToGrid w:val="0"/>
      <w:spacing w:after="100" w:afterAutospacing="1"/>
      <w:jc w:val="both"/>
    </w:pPr>
    <w:rPr>
      <w:rFonts w:ascii="Times New Roman" w:eastAsia="MS Gothic" w:hAnsi="Times New Roman"/>
      <w:sz w:val="24"/>
      <w:lang w:val="en-GB"/>
    </w:rPr>
  </w:style>
  <w:style w:type="paragraph" w:styleId="10">
    <w:name w:val="heading 1"/>
    <w:aliases w:val="H1,h1,app heading 1,l1,Memo Heading 1,h11,h12,h13,h14,h15,h16"/>
    <w:basedOn w:val="a0"/>
    <w:next w:val="a0"/>
    <w:link w:val="11"/>
    <w:qFormat/>
    <w:pPr>
      <w:keepNext/>
      <w:numPr>
        <w:numId w:val="1"/>
      </w:numPr>
      <w:tabs>
        <w:tab w:val="left" w:pos="0"/>
      </w:tabs>
      <w:spacing w:before="240" w:afterLines="50" w:after="50" w:afterAutospacing="0"/>
      <w:outlineLvl w:val="0"/>
    </w:pPr>
    <w:rPr>
      <w:rFonts w:ascii="Arial" w:hAnsi="Arial"/>
      <w:b/>
      <w:kern w:val="28"/>
      <w:sz w:val="32"/>
      <w:lang w:eastAsia="x-none"/>
    </w:rPr>
  </w:style>
  <w:style w:type="paragraph" w:styleId="20">
    <w:name w:val="heading 2"/>
    <w:aliases w:val="DO NOT USE_h2,h2,h21,H2,Head2A,2,UNDERRUBRIK 1-2"/>
    <w:basedOn w:val="a0"/>
    <w:next w:val="a0"/>
    <w:link w:val="21"/>
    <w:autoRedefine/>
    <w:qFormat/>
    <w:rsid w:val="00A930BB"/>
    <w:pPr>
      <w:keepNext/>
      <w:numPr>
        <w:ilvl w:val="1"/>
        <w:numId w:val="1"/>
      </w:numPr>
      <w:tabs>
        <w:tab w:val="clear" w:pos="3403"/>
        <w:tab w:val="num" w:pos="993"/>
      </w:tabs>
      <w:spacing w:before="240"/>
      <w:ind w:hanging="3403"/>
      <w:outlineLvl w:val="1"/>
    </w:pPr>
    <w:rPr>
      <w:rFonts w:ascii="Arial" w:hAnsi="Arial"/>
      <w:b/>
      <w:sz w:val="28"/>
      <w:lang w:val="x-none"/>
    </w:rPr>
  </w:style>
  <w:style w:type="paragraph" w:styleId="30">
    <w:name w:val="heading 3"/>
    <w:aliases w:val="Underrubrik2,H3,no break,Memo Heading 3"/>
    <w:basedOn w:val="a0"/>
    <w:next w:val="a0"/>
    <w:qFormat/>
    <w:pPr>
      <w:keepNext/>
      <w:numPr>
        <w:ilvl w:val="2"/>
        <w:numId w:val="1"/>
      </w:numPr>
      <w:spacing w:before="240" w:after="60"/>
      <w:outlineLvl w:val="2"/>
    </w:pPr>
    <w:rPr>
      <w:rFonts w:ascii="Arial" w:hAnsi="Arial"/>
      <w:b/>
    </w:rPr>
  </w:style>
  <w:style w:type="paragraph" w:styleId="4">
    <w:name w:val="heading 4"/>
    <w:basedOn w:val="a0"/>
    <w:next w:val="a0"/>
    <w:qFormat/>
    <w:pPr>
      <w:keepNext/>
      <w:numPr>
        <w:ilvl w:val="3"/>
        <w:numId w:val="1"/>
      </w:numPr>
      <w:jc w:val="right"/>
      <w:outlineLvl w:val="3"/>
    </w:pPr>
    <w:rPr>
      <w:rFonts w:ascii="Arial" w:hAnsi="Arial"/>
      <w:i/>
    </w:rPr>
  </w:style>
  <w:style w:type="paragraph" w:styleId="5">
    <w:name w:val="heading 5"/>
    <w:basedOn w:val="a0"/>
    <w:next w:val="a0"/>
    <w:link w:val="50"/>
    <w:uiPriority w:val="9"/>
    <w:unhideWhenUsed/>
    <w:qFormat/>
    <w:rsid w:val="0027478F"/>
    <w:pPr>
      <w:keepNext/>
      <w:snapToGrid/>
      <w:spacing w:after="160" w:afterAutospacing="0" w:line="259" w:lineRule="auto"/>
      <w:ind w:leftChars="800" w:left="800"/>
      <w:outlineLvl w:val="4"/>
    </w:pPr>
    <w:rPr>
      <w:rFonts w:asciiTheme="majorHAnsi" w:eastAsiaTheme="majorEastAsia" w:hAnsiTheme="majorHAnsi" w:cstheme="majorBidi"/>
      <w:sz w:val="22"/>
      <w:szCs w:val="22"/>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标题 1 字符"/>
    <w:aliases w:val="H1 字符,h1 字符,app heading 1 字符,l1 字符,Memo Heading 1 字符,h11 字符,h12 字符,h13 字符,h14 字符,h15 字符,h16 字符"/>
    <w:link w:val="10"/>
    <w:rPr>
      <w:rFonts w:ascii="Arial" w:eastAsia="MS Gothic" w:hAnsi="Arial"/>
      <w:b/>
      <w:kern w:val="28"/>
      <w:sz w:val="32"/>
      <w:lang w:val="en-GB" w:eastAsia="x-none"/>
    </w:rPr>
  </w:style>
  <w:style w:type="character" w:customStyle="1" w:styleId="21">
    <w:name w:val="标题 2 字符"/>
    <w:aliases w:val="DO NOT USE_h2 字符,h2 字符,h21 字符,H2 字符,Head2A 字符,2 字符,UNDERRUBRIK 1-2 字符"/>
    <w:link w:val="20"/>
    <w:rsid w:val="00A930BB"/>
    <w:rPr>
      <w:rFonts w:ascii="Arial" w:eastAsia="MS Gothic" w:hAnsi="Arial"/>
      <w:b/>
      <w:sz w:val="28"/>
      <w:lang w:val="x-none"/>
    </w:rPr>
  </w:style>
  <w:style w:type="character" w:customStyle="1" w:styleId="50">
    <w:name w:val="标题 5 字符"/>
    <w:basedOn w:val="a1"/>
    <w:link w:val="5"/>
    <w:uiPriority w:val="9"/>
    <w:rsid w:val="0027478F"/>
    <w:rPr>
      <w:rFonts w:asciiTheme="majorHAnsi" w:eastAsiaTheme="majorEastAsia" w:hAnsiTheme="majorHAnsi" w:cstheme="majorBidi"/>
      <w:sz w:val="22"/>
      <w:szCs w:val="22"/>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5"/>
    <w:pPr>
      <w:widowControl w:val="0"/>
    </w:pPr>
    <w:rPr>
      <w:rFonts w:ascii="Arial" w:eastAsia="MS Mincho" w:hAnsi="Arial"/>
      <w:b/>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C92E0F"/>
    <w:rPr>
      <w:rFonts w:ascii="Arial" w:hAnsi="Arial"/>
      <w:b/>
      <w:noProof/>
      <w:sz w:val="18"/>
      <w:lang w:val="en-GB"/>
    </w:rPr>
  </w:style>
  <w:style w:type="paragraph" w:styleId="a6">
    <w:name w:val="caption"/>
    <w:basedOn w:val="a0"/>
    <w:next w:val="a0"/>
    <w:link w:val="a7"/>
    <w:qFormat/>
    <w:pPr>
      <w:spacing w:before="120" w:after="120"/>
    </w:pPr>
    <w:rPr>
      <w:b/>
      <w:lang w:eastAsia="x-none"/>
    </w:rPr>
  </w:style>
  <w:style w:type="character" w:customStyle="1" w:styleId="a7">
    <w:name w:val="题注 字符"/>
    <w:link w:val="a6"/>
    <w:qFormat/>
    <w:rPr>
      <w:rFonts w:ascii="Times New Roman" w:eastAsia="MS Gothic" w:hAnsi="Times New Roman"/>
      <w:b/>
      <w:sz w:val="24"/>
      <w:lang w:val="en-GB"/>
    </w:rPr>
  </w:style>
  <w:style w:type="paragraph" w:customStyle="1" w:styleId="Reference">
    <w:name w:val="Reference"/>
    <w:basedOn w:val="a0"/>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8">
    <w:name w:val="Hyperlink"/>
    <w:uiPriority w:val="99"/>
    <w:qFormat/>
    <w:rPr>
      <w:color w:val="0000FF"/>
      <w:u w:val="single"/>
    </w:rPr>
  </w:style>
  <w:style w:type="character" w:styleId="a9">
    <w:name w:val="annotation reference"/>
    <w:semiHidden/>
    <w:rPr>
      <w:sz w:val="18"/>
      <w:szCs w:val="18"/>
    </w:rPr>
  </w:style>
  <w:style w:type="paragraph" w:styleId="aa">
    <w:name w:val="annotation text"/>
    <w:basedOn w:val="a0"/>
    <w:link w:val="ab"/>
    <w:semiHidden/>
    <w:pPr>
      <w:jc w:val="left"/>
    </w:pPr>
    <w:rPr>
      <w:lang w:eastAsia="x-none"/>
    </w:rPr>
  </w:style>
  <w:style w:type="character" w:customStyle="1" w:styleId="ab">
    <w:name w:val="批注文字 字符"/>
    <w:link w:val="aa"/>
    <w:semiHidden/>
    <w:rPr>
      <w:rFonts w:ascii="Times New Roman" w:eastAsia="MS Gothic" w:hAnsi="Times New Roman"/>
      <w:sz w:val="24"/>
      <w:lang w:val="en-GB"/>
    </w:rPr>
  </w:style>
  <w:style w:type="paragraph" w:styleId="ac">
    <w:name w:val="annotation subject"/>
    <w:basedOn w:val="aa"/>
    <w:next w:val="aa"/>
    <w:semiHidden/>
    <w:rPr>
      <w:b/>
      <w:bCs/>
    </w:rPr>
  </w:style>
  <w:style w:type="paragraph" w:styleId="ad">
    <w:name w:val="Balloon Text"/>
    <w:basedOn w:val="a0"/>
    <w:semiHidden/>
    <w:rPr>
      <w:rFonts w:ascii="Arial" w:hAnsi="Arial"/>
      <w:sz w:val="18"/>
      <w:szCs w:val="18"/>
    </w:rPr>
  </w:style>
  <w:style w:type="paragraph" w:styleId="ae">
    <w:name w:val="footer"/>
    <w:basedOn w:val="a0"/>
    <w:link w:val="af"/>
    <w:uiPriority w:val="99"/>
    <w:pPr>
      <w:tabs>
        <w:tab w:val="center" w:pos="4252"/>
        <w:tab w:val="right" w:pos="8504"/>
      </w:tabs>
    </w:pPr>
    <w:rPr>
      <w:lang w:eastAsia="x-none"/>
    </w:rPr>
  </w:style>
  <w:style w:type="character" w:customStyle="1" w:styleId="af">
    <w:name w:val="页脚 字符"/>
    <w:link w:val="ae"/>
    <w:uiPriority w:val="99"/>
    <w:rPr>
      <w:rFonts w:ascii="Times New Roman" w:eastAsia="MS Gothic" w:hAnsi="Times New Roman"/>
      <w:sz w:val="24"/>
      <w:lang w:val="en-GB"/>
    </w:rPr>
  </w:style>
  <w:style w:type="paragraph" w:customStyle="1" w:styleId="af0">
    <w:name w:val="スタイル 数式"/>
    <w:basedOn w:val="a0"/>
    <w:pPr>
      <w:ind w:firstLine="720"/>
    </w:pPr>
    <w:rPr>
      <w:rFonts w:cs="MS Mincho"/>
    </w:rPr>
  </w:style>
  <w:style w:type="table" w:styleId="af1">
    <w:name w:val="Table Grid"/>
    <w:basedOn w:val="a2"/>
    <w:uiPriority w:val="39"/>
    <w:qFormat/>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Body Text"/>
    <w:aliases w:val="bt"/>
    <w:basedOn w:val="a0"/>
    <w:pPr>
      <w:snapToGrid/>
      <w:spacing w:after="120" w:afterAutospacing="0"/>
    </w:pPr>
    <w:rPr>
      <w:rFonts w:eastAsia="MS Mincho"/>
      <w:sz w:val="20"/>
      <w:szCs w:val="24"/>
      <w:lang w:val="en-US" w:eastAsia="en-US"/>
    </w:rPr>
  </w:style>
  <w:style w:type="table" w:styleId="8">
    <w:name w:val="Table Grid 8"/>
    <w:basedOn w:val="a2"/>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
    <w:name w:val="Table List 6"/>
    <w:basedOn w:val="a2"/>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2"/>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2"/>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0"/>
    <w:next w:val="a0"/>
    <w:link w:val="af4"/>
    <w:uiPriority w:val="29"/>
    <w:qFormat/>
    <w:rPr>
      <w:i/>
      <w:iCs/>
      <w:color w:val="000000"/>
      <w:lang w:eastAsia="x-none"/>
    </w:rPr>
  </w:style>
  <w:style w:type="character" w:customStyle="1" w:styleId="af4">
    <w:name w:val="引用 字符"/>
    <w:link w:val="af3"/>
    <w:uiPriority w:val="29"/>
    <w:rPr>
      <w:rFonts w:ascii="Times New Roman" w:eastAsia="MS Gothic" w:hAnsi="Times New Roman"/>
      <w:i/>
      <w:iCs/>
      <w:color w:val="000000"/>
      <w:sz w:val="24"/>
      <w:lang w:val="en-GB"/>
    </w:rPr>
  </w:style>
  <w:style w:type="character" w:styleId="af5">
    <w:name w:val="Strong"/>
    <w:uiPriority w:val="22"/>
    <w:qFormat/>
    <w:rPr>
      <w:b/>
      <w:bCs/>
    </w:rPr>
  </w:style>
  <w:style w:type="paragraph" w:customStyle="1" w:styleId="1">
    <w:name w:val="段落番号1"/>
    <w:basedOn w:val="10"/>
    <w:next w:val="a0"/>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pPr>
      <w:numPr>
        <w:ilvl w:val="1"/>
      </w:numPr>
      <w:ind w:left="200" w:hangingChars="200" w:hanging="200"/>
    </w:pPr>
    <w:rPr>
      <w:rFonts w:eastAsia="MS PMincho"/>
    </w:rPr>
  </w:style>
  <w:style w:type="paragraph" w:customStyle="1" w:styleId="3">
    <w:name w:val="段落番号3"/>
    <w:basedOn w:val="1"/>
    <w:next w:val="a0"/>
    <w:pPr>
      <w:numPr>
        <w:ilvl w:val="2"/>
      </w:numPr>
      <w:ind w:left="250" w:hangingChars="250" w:hanging="250"/>
    </w:pPr>
  </w:style>
  <w:style w:type="paragraph" w:styleId="af6">
    <w:name w:val="Revision"/>
    <w:hidden/>
    <w:uiPriority w:val="99"/>
    <w:semiHidden/>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6"/>
    <w:link w:val="af8"/>
    <w:qFormat/>
    <w:pPr>
      <w:jc w:val="center"/>
    </w:pPr>
  </w:style>
  <w:style w:type="character" w:customStyle="1" w:styleId="af8">
    <w:name w:val="図表 (文字)"/>
    <w:basedOn w:val="a7"/>
    <w:link w:val="af7"/>
    <w:rPr>
      <w:rFonts w:ascii="Times New Roman" w:eastAsia="MS Gothic" w:hAnsi="Times New Roman"/>
      <w:b/>
      <w:sz w:val="24"/>
      <w:lang w:val="en-GB"/>
    </w:rPr>
  </w:style>
  <w:style w:type="paragraph" w:styleId="af9">
    <w:name w:val="Document Map"/>
    <w:basedOn w:val="a0"/>
    <w:semiHidden/>
    <w:pPr>
      <w:shd w:val="clear" w:color="auto" w:fill="000080"/>
    </w:pPr>
    <w:rPr>
      <w:rFonts w:ascii="Tahoma" w:hAnsi="Tahoma" w:cs="Tahoma"/>
      <w:sz w:val="20"/>
    </w:rPr>
  </w:style>
  <w:style w:type="table" w:styleId="-6">
    <w:name w:val="Light Shading Accent 6"/>
    <w:basedOn w:val="a2"/>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2"/>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0"/>
    <w:link w:val="proposal-bullet0"/>
    <w:autoRedefine/>
    <w:qFormat/>
    <w:rsid w:val="00B13A8A"/>
    <w:pPr>
      <w:numPr>
        <w:ilvl w:val="1"/>
        <w:numId w:val="5"/>
      </w:numPr>
      <w:ind w:rightChars="100" w:right="240"/>
    </w:pPr>
    <w:rPr>
      <w:b/>
      <w:i/>
      <w:lang w:val="x-none" w:eastAsia="x-none"/>
    </w:rPr>
  </w:style>
  <w:style w:type="character" w:customStyle="1" w:styleId="proposal-bullet0">
    <w:name w:val="proposal-bullet (文字)"/>
    <w:link w:val="proposal-bullet"/>
    <w:qFormat/>
    <w:rsid w:val="00B13A8A"/>
    <w:rPr>
      <w:rFonts w:ascii="Times New Roman" w:eastAsia="MS Gothic" w:hAnsi="Times New Roman"/>
      <w:b/>
      <w:i/>
      <w:sz w:val="24"/>
      <w:lang w:val="x-none" w:eastAsia="x-none"/>
    </w:rPr>
  </w:style>
  <w:style w:type="paragraph" w:styleId="afa">
    <w:name w:val="Plain Text"/>
    <w:basedOn w:val="a0"/>
    <w:link w:val="afb"/>
    <w:uiPriority w:val="99"/>
    <w:semiHidden/>
    <w:unhideWhenUsed/>
    <w:pPr>
      <w:snapToGrid/>
      <w:spacing w:after="0" w:afterAutospacing="0"/>
      <w:jc w:val="left"/>
    </w:pPr>
    <w:rPr>
      <w:rFonts w:ascii="MS Gothic" w:hAnsi="MS Gothic"/>
      <w:sz w:val="20"/>
      <w:lang w:val="x-none" w:eastAsia="x-none"/>
    </w:rPr>
  </w:style>
  <w:style w:type="character" w:customStyle="1" w:styleId="afb">
    <w:name w:val="纯文本 字符"/>
    <w:link w:val="afa"/>
    <w:uiPriority w:val="99"/>
    <w:semiHidden/>
    <w:rPr>
      <w:rFonts w:ascii="MS Gothic" w:eastAsia="MS Gothic" w:hAnsi="MS Gothic" w:cs="MS PGothic"/>
    </w:rPr>
  </w:style>
  <w:style w:type="character" w:styleId="afc">
    <w:name w:val="Subtle Reference"/>
    <w:uiPriority w:val="31"/>
    <w:qFormat/>
    <w:rsid w:val="00F96F9E"/>
    <w:rPr>
      <w:smallCaps/>
      <w:color w:val="C0504D"/>
      <w:u w:val="single"/>
    </w:rPr>
  </w:style>
  <w:style w:type="paragraph" w:customStyle="1" w:styleId="EQ">
    <w:name w:val="EQ"/>
    <w:basedOn w:val="a0"/>
    <w:next w:val="a0"/>
    <w:rsid w:val="00AF63A1"/>
    <w:pPr>
      <w:keepLines/>
      <w:tabs>
        <w:tab w:val="center" w:pos="4536"/>
        <w:tab w:val="right" w:pos="9072"/>
      </w:tabs>
      <w:overflowPunct w:val="0"/>
      <w:autoSpaceDE w:val="0"/>
      <w:autoSpaceDN w:val="0"/>
      <w:adjustRightInd w:val="0"/>
      <w:snapToGrid/>
      <w:spacing w:after="180" w:afterAutospacing="0"/>
      <w:jc w:val="left"/>
    </w:pPr>
    <w:rPr>
      <w:rFonts w:eastAsia="Times New Roman"/>
      <w:noProof/>
      <w:sz w:val="20"/>
      <w:lang w:eastAsia="en-GB"/>
    </w:rPr>
  </w:style>
  <w:style w:type="paragraph" w:styleId="a">
    <w:name w:val="List Paragraph"/>
    <w:aliases w:val="- Bullets,列出段落,?? ??,?????,????,Lista1,列出段落1,中等深浅网格 1 - 着色 21,¥ê¥¹¥È¶ÎÂä,¥¡¡¡¡ì¬º¥¹¥È¶ÎÂä,ÁÐ³ö¶ÎÂä,列表段落1,—ño’i—Ž,1st level - Bullet List Paragraph,Lettre d'introduction,Paragrafo elenco,Normal bullet 2,Bullet list,목록단락,列表段落11,列,列表段,P,numbere,B,リスト"/>
    <w:basedOn w:val="a0"/>
    <w:link w:val="afd"/>
    <w:uiPriority w:val="34"/>
    <w:qFormat/>
    <w:rsid w:val="000546BF"/>
    <w:pPr>
      <w:numPr>
        <w:numId w:val="4"/>
      </w:numPr>
    </w:pPr>
  </w:style>
  <w:style w:type="character" w:customStyle="1" w:styleId="st">
    <w:name w:val="st"/>
    <w:rsid w:val="00DA1230"/>
  </w:style>
  <w:style w:type="paragraph" w:customStyle="1" w:styleId="NoteLevel2">
    <w:name w:val="Note Level 2"/>
    <w:basedOn w:val="a0"/>
    <w:uiPriority w:val="1"/>
    <w:rsid w:val="003A0FD8"/>
    <w:pPr>
      <w:keepNext/>
      <w:numPr>
        <w:ilvl w:val="1"/>
        <w:numId w:val="3"/>
      </w:numPr>
      <w:contextualSpacing/>
      <w:outlineLvl w:val="1"/>
    </w:pPr>
    <w:rPr>
      <w:rFonts w:ascii="MS Gothic"/>
    </w:rPr>
  </w:style>
  <w:style w:type="paragraph" w:customStyle="1" w:styleId="Prop-obsv">
    <w:name w:val="Prop-obsv"/>
    <w:basedOn w:val="a0"/>
    <w:link w:val="Prop-obsv0"/>
    <w:qFormat/>
    <w:rsid w:val="005E7C1B"/>
    <w:pPr>
      <w:pBdr>
        <w:top w:val="single" w:sz="4" w:space="1" w:color="auto" w:shadow="1"/>
        <w:left w:val="single" w:sz="4" w:space="4" w:color="auto" w:shadow="1"/>
        <w:bottom w:val="single" w:sz="4" w:space="1" w:color="auto" w:shadow="1"/>
        <w:right w:val="single" w:sz="4" w:space="4" w:color="auto" w:shadow="1"/>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1"/>
    <w:link w:val="Prop-obsv"/>
    <w:rsid w:val="005E7C1B"/>
    <w:rPr>
      <w:rFonts w:ascii="Times New Roman" w:eastAsiaTheme="majorEastAsia" w:hAnsi="Times New Roman"/>
      <w:b/>
      <w:bCs/>
      <w:sz w:val="24"/>
      <w:szCs w:val="24"/>
      <w:shd w:val="clear" w:color="auto" w:fill="FFFFFF"/>
    </w:rPr>
  </w:style>
  <w:style w:type="paragraph" w:customStyle="1" w:styleId="NO">
    <w:name w:val="NO"/>
    <w:basedOn w:val="a0"/>
    <w:link w:val="NOZchn"/>
    <w:rsid w:val="0027478F"/>
    <w:pPr>
      <w:keepLines/>
      <w:snapToGrid/>
      <w:spacing w:after="180" w:afterAutospacing="0"/>
      <w:ind w:left="1135" w:hanging="851"/>
      <w:jc w:val="left"/>
    </w:pPr>
    <w:rPr>
      <w:rFonts w:eastAsia="宋体"/>
      <w:sz w:val="20"/>
      <w:lang w:eastAsia="x-none"/>
    </w:rPr>
  </w:style>
  <w:style w:type="character" w:customStyle="1" w:styleId="NOZchn">
    <w:name w:val="NO Zchn"/>
    <w:link w:val="NO"/>
    <w:rsid w:val="0027478F"/>
    <w:rPr>
      <w:rFonts w:ascii="Times New Roman" w:eastAsia="宋体" w:hAnsi="Times New Roman"/>
      <w:lang w:val="en-GB" w:eastAsia="x-none"/>
    </w:rPr>
  </w:style>
  <w:style w:type="paragraph" w:styleId="afe">
    <w:name w:val="Normal (Web)"/>
    <w:basedOn w:val="a0"/>
    <w:uiPriority w:val="99"/>
    <w:semiHidden/>
    <w:unhideWhenUsed/>
    <w:rsid w:val="00EE416F"/>
    <w:pPr>
      <w:snapToGrid/>
      <w:spacing w:before="100" w:beforeAutospacing="1"/>
      <w:jc w:val="left"/>
    </w:pPr>
    <w:rPr>
      <w:rFonts w:ascii="Times" w:eastAsiaTheme="minorEastAsia" w:hAnsi="Times"/>
      <w:sz w:val="20"/>
      <w:lang w:val="en-US"/>
    </w:rPr>
  </w:style>
  <w:style w:type="paragraph" w:customStyle="1" w:styleId="TH">
    <w:name w:val="TH"/>
    <w:basedOn w:val="a0"/>
    <w:link w:val="THChar"/>
    <w:rsid w:val="00316521"/>
    <w:pPr>
      <w:keepNext/>
      <w:keepLines/>
      <w:snapToGrid/>
      <w:spacing w:before="60" w:after="180" w:afterAutospacing="0"/>
      <w:jc w:val="center"/>
    </w:pPr>
    <w:rPr>
      <w:rFonts w:ascii="Arial" w:eastAsia="宋体" w:hAnsi="Arial"/>
      <w:b/>
      <w:sz w:val="20"/>
      <w:lang w:eastAsia="en-US"/>
    </w:rPr>
  </w:style>
  <w:style w:type="character" w:customStyle="1" w:styleId="THChar">
    <w:name w:val="TH Char"/>
    <w:basedOn w:val="a1"/>
    <w:link w:val="TH"/>
    <w:rsid w:val="00316521"/>
    <w:rPr>
      <w:rFonts w:ascii="Arial" w:eastAsia="宋体" w:hAnsi="Arial"/>
      <w:b/>
      <w:lang w:val="en-GB" w:eastAsia="en-US"/>
    </w:rPr>
  </w:style>
  <w:style w:type="table" w:styleId="2-1">
    <w:name w:val="Medium Shading 2 Accent 1"/>
    <w:basedOn w:val="a2"/>
    <w:uiPriority w:val="69"/>
    <w:rsid w:val="008069D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aff">
    <w:name w:val="Light Shading"/>
    <w:basedOn w:val="a2"/>
    <w:uiPriority w:val="69"/>
    <w:rsid w:val="008069D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f0">
    <w:name w:val="FollowedHyperlink"/>
    <w:basedOn w:val="a1"/>
    <w:uiPriority w:val="99"/>
    <w:semiHidden/>
    <w:unhideWhenUsed/>
    <w:rsid w:val="00B423F0"/>
    <w:rPr>
      <w:color w:val="800080" w:themeColor="followedHyperlink"/>
      <w:u w:val="single"/>
    </w:rPr>
  </w:style>
  <w:style w:type="character" w:styleId="aff1">
    <w:name w:val="Emphasis"/>
    <w:uiPriority w:val="20"/>
    <w:qFormat/>
    <w:rsid w:val="00D67890"/>
    <w:rPr>
      <w:i/>
      <w:iCs/>
    </w:rPr>
  </w:style>
  <w:style w:type="character" w:customStyle="1" w:styleId="afd">
    <w:name w:val="列表段落 字符"/>
    <w:aliases w:val="- Bullets 字符,列出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sid w:val="002D023F"/>
    <w:rPr>
      <w:rFonts w:ascii="Times New Roman" w:eastAsia="MS Gothic" w:hAnsi="Times New Roman"/>
      <w:sz w:val="24"/>
      <w:lang w:val="en-GB"/>
    </w:rPr>
  </w:style>
  <w:style w:type="paragraph" w:customStyle="1" w:styleId="Proposal-Observation">
    <w:name w:val="Proposal-Observation"/>
    <w:basedOn w:val="a"/>
    <w:link w:val="Proposal-Observation0"/>
    <w:qFormat/>
    <w:rsid w:val="00F353A3"/>
    <w:pPr>
      <w:spacing w:before="120" w:after="220"/>
      <w:ind w:rightChars="100" w:right="100"/>
    </w:pPr>
    <w:rPr>
      <w:b/>
      <w:bCs/>
      <w:i/>
      <w:lang w:val="en-US" w:eastAsia="zh-CN"/>
    </w:rPr>
  </w:style>
  <w:style w:type="character" w:customStyle="1" w:styleId="Proposal-Observation0">
    <w:name w:val="Proposal-Observation (文字)"/>
    <w:basedOn w:val="afd"/>
    <w:link w:val="Proposal-Observation"/>
    <w:rsid w:val="00F353A3"/>
    <w:rPr>
      <w:rFonts w:ascii="Times New Roman" w:eastAsia="MS Gothic" w:hAnsi="Times New Roman"/>
      <w:b/>
      <w:bCs/>
      <w:i/>
      <w:sz w:val="24"/>
      <w:lang w:val="en-GB" w:eastAsia="zh-CN"/>
    </w:rPr>
  </w:style>
  <w:style w:type="character" w:customStyle="1" w:styleId="13">
    <w:name w:val="リスト段落 (文字)1"/>
    <w:aliases w:val="- Bullets (文字)1,列出段落 (文字),?? ?? (文字)1,????? (文字)1,???? (文字)1,Lista1 (文字)1,列出段落1 (文字)1,中等深浅网格 1 - 着色 21 (文字)1,¥ê¥¹¥È¶ÎÂä (文字)1,¥¡¡¡¡ì¬º¥¹¥È¶ÎÂä (文字)1,ÁÐ³ö¶ÎÂä (文字)1,列表段落1 (文字)1,—ño’i—Ž (文字)1,1st level - Bullet List Paragraph (文字)1,목록단락 (文字)"/>
    <w:uiPriority w:val="34"/>
    <w:qFormat/>
    <w:rsid w:val="001848D5"/>
    <w:rPr>
      <w:rFonts w:ascii="Times" w:eastAsia="Batang" w:hAnsi="Times"/>
      <w:szCs w:val="24"/>
      <w:lang w:val="en-GB" w:eastAsia="x-none"/>
    </w:rPr>
  </w:style>
  <w:style w:type="paragraph" w:customStyle="1" w:styleId="3GPPText">
    <w:name w:val="3GPP Text"/>
    <w:basedOn w:val="a0"/>
    <w:link w:val="3GPPTextChar"/>
    <w:qFormat/>
    <w:rsid w:val="006B7D58"/>
    <w:pPr>
      <w:overflowPunct w:val="0"/>
      <w:autoSpaceDE w:val="0"/>
      <w:autoSpaceDN w:val="0"/>
      <w:adjustRightInd w:val="0"/>
      <w:snapToGrid/>
      <w:spacing w:before="120" w:after="120" w:afterAutospacing="0"/>
      <w:textAlignment w:val="baseline"/>
    </w:pPr>
    <w:rPr>
      <w:rFonts w:eastAsia="宋体"/>
      <w:sz w:val="22"/>
      <w:lang w:val="en-US" w:eastAsia="en-US"/>
    </w:rPr>
  </w:style>
  <w:style w:type="character" w:customStyle="1" w:styleId="3GPPTextChar">
    <w:name w:val="3GPP Text Char"/>
    <w:link w:val="3GPPText"/>
    <w:qFormat/>
    <w:rsid w:val="006B7D58"/>
    <w:rPr>
      <w:rFonts w:ascii="Times New Roman" w:eastAsia="宋体" w:hAnsi="Times New Roman"/>
      <w:sz w:val="22"/>
      <w:lang w:eastAsia="en-US"/>
    </w:rPr>
  </w:style>
  <w:style w:type="character" w:customStyle="1" w:styleId="14">
    <w:name w:val="列表段落 字符1"/>
    <w:aliases w:val="- Bullets 字符1,列出段落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sid w:val="0095374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5980040">
      <w:bodyDiv w:val="1"/>
      <w:marLeft w:val="0"/>
      <w:marRight w:val="0"/>
      <w:marTop w:val="0"/>
      <w:marBottom w:val="0"/>
      <w:divBdr>
        <w:top w:val="none" w:sz="0" w:space="0" w:color="auto"/>
        <w:left w:val="none" w:sz="0" w:space="0" w:color="auto"/>
        <w:bottom w:val="none" w:sz="0" w:space="0" w:color="auto"/>
        <w:right w:val="none" w:sz="0" w:space="0" w:color="auto"/>
      </w:divBdr>
      <w:divsChild>
        <w:div w:id="926157115">
          <w:marLeft w:val="1886"/>
          <w:marRight w:val="0"/>
          <w:marTop w:val="75"/>
          <w:marBottom w:val="0"/>
          <w:divBdr>
            <w:top w:val="none" w:sz="0" w:space="0" w:color="auto"/>
            <w:left w:val="none" w:sz="0" w:space="0" w:color="auto"/>
            <w:bottom w:val="none" w:sz="0" w:space="0" w:color="auto"/>
            <w:right w:val="none" w:sz="0" w:space="0" w:color="auto"/>
          </w:divBdr>
        </w:div>
        <w:div w:id="1837570490">
          <w:marLeft w:val="2434"/>
          <w:marRight w:val="0"/>
          <w:marTop w:val="75"/>
          <w:marBottom w:val="0"/>
          <w:divBdr>
            <w:top w:val="none" w:sz="0" w:space="0" w:color="auto"/>
            <w:left w:val="none" w:sz="0" w:space="0" w:color="auto"/>
            <w:bottom w:val="none" w:sz="0" w:space="0" w:color="auto"/>
            <w:right w:val="none" w:sz="0" w:space="0" w:color="auto"/>
          </w:divBdr>
        </w:div>
      </w:divsChild>
    </w:div>
    <w:div w:id="71460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27461486">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47150063">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5125886">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6993076">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57158438">
      <w:bodyDiv w:val="1"/>
      <w:marLeft w:val="0"/>
      <w:marRight w:val="0"/>
      <w:marTop w:val="0"/>
      <w:marBottom w:val="0"/>
      <w:divBdr>
        <w:top w:val="none" w:sz="0" w:space="0" w:color="auto"/>
        <w:left w:val="none" w:sz="0" w:space="0" w:color="auto"/>
        <w:bottom w:val="none" w:sz="0" w:space="0" w:color="auto"/>
        <w:right w:val="none" w:sz="0" w:space="0" w:color="auto"/>
      </w:divBdr>
    </w:div>
    <w:div w:id="159472378">
      <w:bodyDiv w:val="1"/>
      <w:marLeft w:val="0"/>
      <w:marRight w:val="0"/>
      <w:marTop w:val="0"/>
      <w:marBottom w:val="0"/>
      <w:divBdr>
        <w:top w:val="none" w:sz="0" w:space="0" w:color="auto"/>
        <w:left w:val="none" w:sz="0" w:space="0" w:color="auto"/>
        <w:bottom w:val="none" w:sz="0" w:space="0" w:color="auto"/>
        <w:right w:val="none" w:sz="0" w:space="0" w:color="auto"/>
      </w:divBdr>
      <w:divsChild>
        <w:div w:id="77332510">
          <w:marLeft w:val="806"/>
          <w:marRight w:val="0"/>
          <w:marTop w:val="75"/>
          <w:marBottom w:val="0"/>
          <w:divBdr>
            <w:top w:val="none" w:sz="0" w:space="0" w:color="auto"/>
            <w:left w:val="none" w:sz="0" w:space="0" w:color="auto"/>
            <w:bottom w:val="none" w:sz="0" w:space="0" w:color="auto"/>
            <w:right w:val="none" w:sz="0" w:space="0" w:color="auto"/>
          </w:divBdr>
        </w:div>
        <w:div w:id="796028452">
          <w:marLeft w:val="806"/>
          <w:marRight w:val="0"/>
          <w:marTop w:val="75"/>
          <w:marBottom w:val="0"/>
          <w:divBdr>
            <w:top w:val="none" w:sz="0" w:space="0" w:color="auto"/>
            <w:left w:val="none" w:sz="0" w:space="0" w:color="auto"/>
            <w:bottom w:val="none" w:sz="0" w:space="0" w:color="auto"/>
            <w:right w:val="none" w:sz="0" w:space="0" w:color="auto"/>
          </w:divBdr>
        </w:div>
      </w:divsChild>
    </w:div>
    <w:div w:id="160895744">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10770488">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57300488">
      <w:bodyDiv w:val="1"/>
      <w:marLeft w:val="0"/>
      <w:marRight w:val="0"/>
      <w:marTop w:val="0"/>
      <w:marBottom w:val="0"/>
      <w:divBdr>
        <w:top w:val="none" w:sz="0" w:space="0" w:color="auto"/>
        <w:left w:val="none" w:sz="0" w:space="0" w:color="auto"/>
        <w:bottom w:val="none" w:sz="0" w:space="0" w:color="auto"/>
        <w:right w:val="none" w:sz="0" w:space="0" w:color="auto"/>
      </w:divBdr>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6463477">
      <w:bodyDiv w:val="1"/>
      <w:marLeft w:val="0"/>
      <w:marRight w:val="0"/>
      <w:marTop w:val="0"/>
      <w:marBottom w:val="0"/>
      <w:divBdr>
        <w:top w:val="none" w:sz="0" w:space="0" w:color="auto"/>
        <w:left w:val="none" w:sz="0" w:space="0" w:color="auto"/>
        <w:bottom w:val="none" w:sz="0" w:space="0" w:color="auto"/>
        <w:right w:val="none" w:sz="0" w:space="0" w:color="auto"/>
      </w:divBdr>
    </w:div>
    <w:div w:id="425229027">
      <w:bodyDiv w:val="1"/>
      <w:marLeft w:val="0"/>
      <w:marRight w:val="0"/>
      <w:marTop w:val="0"/>
      <w:marBottom w:val="0"/>
      <w:divBdr>
        <w:top w:val="none" w:sz="0" w:space="0" w:color="auto"/>
        <w:left w:val="none" w:sz="0" w:space="0" w:color="auto"/>
        <w:bottom w:val="none" w:sz="0" w:space="0" w:color="auto"/>
        <w:right w:val="none" w:sz="0" w:space="0" w:color="auto"/>
      </w:divBdr>
      <w:divsChild>
        <w:div w:id="373046808">
          <w:marLeft w:val="979"/>
          <w:marRight w:val="0"/>
          <w:marTop w:val="115"/>
          <w:marBottom w:val="0"/>
          <w:divBdr>
            <w:top w:val="none" w:sz="0" w:space="0" w:color="auto"/>
            <w:left w:val="none" w:sz="0" w:space="0" w:color="auto"/>
            <w:bottom w:val="none" w:sz="0" w:space="0" w:color="auto"/>
            <w:right w:val="none" w:sz="0" w:space="0" w:color="auto"/>
          </w:divBdr>
        </w:div>
        <w:div w:id="1480464380">
          <w:marLeft w:val="1598"/>
          <w:marRight w:val="0"/>
          <w:marTop w:val="106"/>
          <w:marBottom w:val="0"/>
          <w:divBdr>
            <w:top w:val="none" w:sz="0" w:space="0" w:color="auto"/>
            <w:left w:val="none" w:sz="0" w:space="0" w:color="auto"/>
            <w:bottom w:val="none" w:sz="0" w:space="0" w:color="auto"/>
            <w:right w:val="none" w:sz="0" w:space="0" w:color="auto"/>
          </w:divBdr>
        </w:div>
        <w:div w:id="1210647858">
          <w:marLeft w:val="979"/>
          <w:marRight w:val="0"/>
          <w:marTop w:val="115"/>
          <w:marBottom w:val="0"/>
          <w:divBdr>
            <w:top w:val="none" w:sz="0" w:space="0" w:color="auto"/>
            <w:left w:val="none" w:sz="0" w:space="0" w:color="auto"/>
            <w:bottom w:val="none" w:sz="0" w:space="0" w:color="auto"/>
            <w:right w:val="none" w:sz="0" w:space="0" w:color="auto"/>
          </w:divBdr>
        </w:div>
        <w:div w:id="1028792897">
          <w:marLeft w:val="979"/>
          <w:marRight w:val="0"/>
          <w:marTop w:val="115"/>
          <w:marBottom w:val="0"/>
          <w:divBdr>
            <w:top w:val="none" w:sz="0" w:space="0" w:color="auto"/>
            <w:left w:val="none" w:sz="0" w:space="0" w:color="auto"/>
            <w:bottom w:val="none" w:sz="0" w:space="0" w:color="auto"/>
            <w:right w:val="none" w:sz="0" w:space="0" w:color="auto"/>
          </w:divBdr>
        </w:div>
      </w:divsChild>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5638338">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515389089">
      <w:bodyDiv w:val="1"/>
      <w:marLeft w:val="0"/>
      <w:marRight w:val="0"/>
      <w:marTop w:val="0"/>
      <w:marBottom w:val="0"/>
      <w:divBdr>
        <w:top w:val="none" w:sz="0" w:space="0" w:color="auto"/>
        <w:left w:val="none" w:sz="0" w:space="0" w:color="auto"/>
        <w:bottom w:val="none" w:sz="0" w:space="0" w:color="auto"/>
        <w:right w:val="none" w:sz="0" w:space="0" w:color="auto"/>
      </w:divBdr>
      <w:divsChild>
        <w:div w:id="975183517">
          <w:marLeft w:val="547"/>
          <w:marRight w:val="0"/>
          <w:marTop w:val="0"/>
          <w:marBottom w:val="0"/>
          <w:divBdr>
            <w:top w:val="none" w:sz="0" w:space="0" w:color="auto"/>
            <w:left w:val="none" w:sz="0" w:space="0" w:color="auto"/>
            <w:bottom w:val="none" w:sz="0" w:space="0" w:color="auto"/>
            <w:right w:val="none" w:sz="0" w:space="0" w:color="auto"/>
          </w:divBdr>
        </w:div>
        <w:div w:id="610554037">
          <w:marLeft w:val="547"/>
          <w:marRight w:val="0"/>
          <w:marTop w:val="0"/>
          <w:marBottom w:val="0"/>
          <w:divBdr>
            <w:top w:val="none" w:sz="0" w:space="0" w:color="auto"/>
            <w:left w:val="none" w:sz="0" w:space="0" w:color="auto"/>
            <w:bottom w:val="none" w:sz="0" w:space="0" w:color="auto"/>
            <w:right w:val="none" w:sz="0" w:space="0" w:color="auto"/>
          </w:divBdr>
        </w:div>
        <w:div w:id="492914221">
          <w:marLeft w:val="547"/>
          <w:marRight w:val="0"/>
          <w:marTop w:val="0"/>
          <w:marBottom w:val="0"/>
          <w:divBdr>
            <w:top w:val="none" w:sz="0" w:space="0" w:color="auto"/>
            <w:left w:val="none" w:sz="0" w:space="0" w:color="auto"/>
            <w:bottom w:val="none" w:sz="0" w:space="0" w:color="auto"/>
            <w:right w:val="none" w:sz="0" w:space="0" w:color="auto"/>
          </w:divBdr>
        </w:div>
        <w:div w:id="1228958177">
          <w:marLeft w:val="547"/>
          <w:marRight w:val="0"/>
          <w:marTop w:val="0"/>
          <w:marBottom w:val="0"/>
          <w:divBdr>
            <w:top w:val="none" w:sz="0" w:space="0" w:color="auto"/>
            <w:left w:val="none" w:sz="0" w:space="0" w:color="auto"/>
            <w:bottom w:val="none" w:sz="0" w:space="0" w:color="auto"/>
            <w:right w:val="none" w:sz="0" w:space="0" w:color="auto"/>
          </w:divBdr>
        </w:div>
        <w:div w:id="730539134">
          <w:marLeft w:val="547"/>
          <w:marRight w:val="0"/>
          <w:marTop w:val="0"/>
          <w:marBottom w:val="0"/>
          <w:divBdr>
            <w:top w:val="none" w:sz="0" w:space="0" w:color="auto"/>
            <w:left w:val="none" w:sz="0" w:space="0" w:color="auto"/>
            <w:bottom w:val="none" w:sz="0" w:space="0" w:color="auto"/>
            <w:right w:val="none" w:sz="0" w:space="0" w:color="auto"/>
          </w:divBdr>
        </w:div>
        <w:div w:id="221254621">
          <w:marLeft w:val="547"/>
          <w:marRight w:val="0"/>
          <w:marTop w:val="0"/>
          <w:marBottom w:val="0"/>
          <w:divBdr>
            <w:top w:val="none" w:sz="0" w:space="0" w:color="auto"/>
            <w:left w:val="none" w:sz="0" w:space="0" w:color="auto"/>
            <w:bottom w:val="none" w:sz="0" w:space="0" w:color="auto"/>
            <w:right w:val="none" w:sz="0" w:space="0" w:color="auto"/>
          </w:divBdr>
        </w:div>
        <w:div w:id="279535070">
          <w:marLeft w:val="547"/>
          <w:marRight w:val="0"/>
          <w:marTop w:val="0"/>
          <w:marBottom w:val="0"/>
          <w:divBdr>
            <w:top w:val="none" w:sz="0" w:space="0" w:color="auto"/>
            <w:left w:val="none" w:sz="0" w:space="0" w:color="auto"/>
            <w:bottom w:val="none" w:sz="0" w:space="0" w:color="auto"/>
            <w:right w:val="none" w:sz="0" w:space="0" w:color="auto"/>
          </w:divBdr>
        </w:div>
      </w:divsChild>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47452405">
      <w:bodyDiv w:val="1"/>
      <w:marLeft w:val="0"/>
      <w:marRight w:val="0"/>
      <w:marTop w:val="0"/>
      <w:marBottom w:val="0"/>
      <w:divBdr>
        <w:top w:val="none" w:sz="0" w:space="0" w:color="auto"/>
        <w:left w:val="none" w:sz="0" w:space="0" w:color="auto"/>
        <w:bottom w:val="none" w:sz="0" w:space="0" w:color="auto"/>
        <w:right w:val="none" w:sz="0" w:space="0" w:color="auto"/>
      </w:divBdr>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58908074">
      <w:bodyDiv w:val="1"/>
      <w:marLeft w:val="0"/>
      <w:marRight w:val="0"/>
      <w:marTop w:val="0"/>
      <w:marBottom w:val="0"/>
      <w:divBdr>
        <w:top w:val="none" w:sz="0" w:space="0" w:color="auto"/>
        <w:left w:val="none" w:sz="0" w:space="0" w:color="auto"/>
        <w:bottom w:val="none" w:sz="0" w:space="0" w:color="auto"/>
        <w:right w:val="none" w:sz="0" w:space="0" w:color="auto"/>
      </w:divBdr>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0120120">
      <w:bodyDiv w:val="1"/>
      <w:marLeft w:val="0"/>
      <w:marRight w:val="0"/>
      <w:marTop w:val="0"/>
      <w:marBottom w:val="0"/>
      <w:divBdr>
        <w:top w:val="none" w:sz="0" w:space="0" w:color="auto"/>
        <w:left w:val="none" w:sz="0" w:space="0" w:color="auto"/>
        <w:bottom w:val="none" w:sz="0" w:space="0" w:color="auto"/>
        <w:right w:val="none" w:sz="0" w:space="0" w:color="auto"/>
      </w:divBdr>
    </w:div>
    <w:div w:id="577447027">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8366566">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375204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603247">
      <w:bodyDiv w:val="1"/>
      <w:marLeft w:val="0"/>
      <w:marRight w:val="0"/>
      <w:marTop w:val="0"/>
      <w:marBottom w:val="0"/>
      <w:divBdr>
        <w:top w:val="none" w:sz="0" w:space="0" w:color="auto"/>
        <w:left w:val="none" w:sz="0" w:space="0" w:color="auto"/>
        <w:bottom w:val="none" w:sz="0" w:space="0" w:color="auto"/>
        <w:right w:val="none" w:sz="0" w:space="0" w:color="auto"/>
      </w:divBdr>
      <w:divsChild>
        <w:div w:id="1100177425">
          <w:marLeft w:val="0"/>
          <w:marRight w:val="0"/>
          <w:marTop w:val="0"/>
          <w:marBottom w:val="0"/>
          <w:divBdr>
            <w:top w:val="none" w:sz="0" w:space="0" w:color="auto"/>
            <w:left w:val="none" w:sz="0" w:space="0" w:color="auto"/>
            <w:bottom w:val="none" w:sz="0" w:space="0" w:color="auto"/>
            <w:right w:val="none" w:sz="0" w:space="0" w:color="auto"/>
          </w:divBdr>
        </w:div>
        <w:div w:id="121850208">
          <w:marLeft w:val="0"/>
          <w:marRight w:val="0"/>
          <w:marTop w:val="0"/>
          <w:marBottom w:val="0"/>
          <w:divBdr>
            <w:top w:val="none" w:sz="0" w:space="0" w:color="auto"/>
            <w:left w:val="none" w:sz="0" w:space="0" w:color="auto"/>
            <w:bottom w:val="none" w:sz="0" w:space="0" w:color="auto"/>
            <w:right w:val="none" w:sz="0" w:space="0" w:color="auto"/>
          </w:divBdr>
        </w:div>
        <w:div w:id="4746422">
          <w:marLeft w:val="0"/>
          <w:marRight w:val="0"/>
          <w:marTop w:val="0"/>
          <w:marBottom w:val="0"/>
          <w:divBdr>
            <w:top w:val="none" w:sz="0" w:space="0" w:color="auto"/>
            <w:left w:val="none" w:sz="0" w:space="0" w:color="auto"/>
            <w:bottom w:val="none" w:sz="0" w:space="0" w:color="auto"/>
            <w:right w:val="none" w:sz="0" w:space="0" w:color="auto"/>
          </w:divBdr>
        </w:div>
      </w:divsChild>
    </w:div>
    <w:div w:id="635448199">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67758524">
      <w:bodyDiv w:val="1"/>
      <w:marLeft w:val="0"/>
      <w:marRight w:val="0"/>
      <w:marTop w:val="0"/>
      <w:marBottom w:val="0"/>
      <w:divBdr>
        <w:top w:val="none" w:sz="0" w:space="0" w:color="auto"/>
        <w:left w:val="none" w:sz="0" w:space="0" w:color="auto"/>
        <w:bottom w:val="none" w:sz="0" w:space="0" w:color="auto"/>
        <w:right w:val="none" w:sz="0" w:space="0" w:color="auto"/>
      </w:divBdr>
    </w:div>
    <w:div w:id="680469211">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3328350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71703339">
      <w:bodyDiv w:val="1"/>
      <w:marLeft w:val="0"/>
      <w:marRight w:val="0"/>
      <w:marTop w:val="0"/>
      <w:marBottom w:val="0"/>
      <w:divBdr>
        <w:top w:val="none" w:sz="0" w:space="0" w:color="auto"/>
        <w:left w:val="none" w:sz="0" w:space="0" w:color="auto"/>
        <w:bottom w:val="none" w:sz="0" w:space="0" w:color="auto"/>
        <w:right w:val="none" w:sz="0" w:space="0" w:color="auto"/>
      </w:divBdr>
    </w:div>
    <w:div w:id="782650131">
      <w:bodyDiv w:val="1"/>
      <w:marLeft w:val="0"/>
      <w:marRight w:val="0"/>
      <w:marTop w:val="0"/>
      <w:marBottom w:val="0"/>
      <w:divBdr>
        <w:top w:val="none" w:sz="0" w:space="0" w:color="auto"/>
        <w:left w:val="none" w:sz="0" w:space="0" w:color="auto"/>
        <w:bottom w:val="none" w:sz="0" w:space="0" w:color="auto"/>
        <w:right w:val="none" w:sz="0" w:space="0" w:color="auto"/>
      </w:divBdr>
      <w:divsChild>
        <w:div w:id="349645058">
          <w:marLeft w:val="288"/>
          <w:marRight w:val="0"/>
          <w:marTop w:val="125"/>
          <w:marBottom w:val="0"/>
          <w:divBdr>
            <w:top w:val="none" w:sz="0" w:space="0" w:color="auto"/>
            <w:left w:val="none" w:sz="0" w:space="0" w:color="auto"/>
            <w:bottom w:val="none" w:sz="0" w:space="0" w:color="auto"/>
            <w:right w:val="none" w:sz="0" w:space="0" w:color="auto"/>
          </w:divBdr>
        </w:div>
        <w:div w:id="1579169804">
          <w:marLeft w:val="979"/>
          <w:marRight w:val="0"/>
          <w:marTop w:val="115"/>
          <w:marBottom w:val="0"/>
          <w:divBdr>
            <w:top w:val="none" w:sz="0" w:space="0" w:color="auto"/>
            <w:left w:val="none" w:sz="0" w:space="0" w:color="auto"/>
            <w:bottom w:val="none" w:sz="0" w:space="0" w:color="auto"/>
            <w:right w:val="none" w:sz="0" w:space="0" w:color="auto"/>
          </w:divBdr>
        </w:div>
        <w:div w:id="1201167652">
          <w:marLeft w:val="288"/>
          <w:marRight w:val="0"/>
          <w:marTop w:val="125"/>
          <w:marBottom w:val="0"/>
          <w:divBdr>
            <w:top w:val="none" w:sz="0" w:space="0" w:color="auto"/>
            <w:left w:val="none" w:sz="0" w:space="0" w:color="auto"/>
            <w:bottom w:val="none" w:sz="0" w:space="0" w:color="auto"/>
            <w:right w:val="none" w:sz="0" w:space="0" w:color="auto"/>
          </w:divBdr>
        </w:div>
        <w:div w:id="385766137">
          <w:marLeft w:val="979"/>
          <w:marRight w:val="0"/>
          <w:marTop w:val="115"/>
          <w:marBottom w:val="0"/>
          <w:divBdr>
            <w:top w:val="none" w:sz="0" w:space="0" w:color="auto"/>
            <w:left w:val="none" w:sz="0" w:space="0" w:color="auto"/>
            <w:bottom w:val="none" w:sz="0" w:space="0" w:color="auto"/>
            <w:right w:val="none" w:sz="0" w:space="0" w:color="auto"/>
          </w:divBdr>
        </w:div>
        <w:div w:id="1338457301">
          <w:marLeft w:val="979"/>
          <w:marRight w:val="0"/>
          <w:marTop w:val="115"/>
          <w:marBottom w:val="0"/>
          <w:divBdr>
            <w:top w:val="none" w:sz="0" w:space="0" w:color="auto"/>
            <w:left w:val="none" w:sz="0" w:space="0" w:color="auto"/>
            <w:bottom w:val="none" w:sz="0" w:space="0" w:color="auto"/>
            <w:right w:val="none" w:sz="0" w:space="0" w:color="auto"/>
          </w:divBdr>
        </w:div>
        <w:div w:id="610475068">
          <w:marLeft w:val="979"/>
          <w:marRight w:val="0"/>
          <w:marTop w:val="115"/>
          <w:marBottom w:val="0"/>
          <w:divBdr>
            <w:top w:val="none" w:sz="0" w:space="0" w:color="auto"/>
            <w:left w:val="none" w:sz="0" w:space="0" w:color="auto"/>
            <w:bottom w:val="none" w:sz="0" w:space="0" w:color="auto"/>
            <w:right w:val="none" w:sz="0" w:space="0" w:color="auto"/>
          </w:divBdr>
        </w:div>
      </w:divsChild>
    </w:div>
    <w:div w:id="787815900">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36655980">
      <w:bodyDiv w:val="1"/>
      <w:marLeft w:val="0"/>
      <w:marRight w:val="0"/>
      <w:marTop w:val="0"/>
      <w:marBottom w:val="0"/>
      <w:divBdr>
        <w:top w:val="none" w:sz="0" w:space="0" w:color="auto"/>
        <w:left w:val="none" w:sz="0" w:space="0" w:color="auto"/>
        <w:bottom w:val="none" w:sz="0" w:space="0" w:color="auto"/>
        <w:right w:val="none" w:sz="0" w:space="0" w:color="auto"/>
      </w:divBdr>
      <w:divsChild>
        <w:div w:id="620381223">
          <w:marLeft w:val="1354"/>
          <w:marRight w:val="0"/>
          <w:marTop w:val="75"/>
          <w:marBottom w:val="0"/>
          <w:divBdr>
            <w:top w:val="none" w:sz="0" w:space="0" w:color="auto"/>
            <w:left w:val="none" w:sz="0" w:space="0" w:color="auto"/>
            <w:bottom w:val="none" w:sz="0" w:space="0" w:color="auto"/>
            <w:right w:val="none" w:sz="0" w:space="0" w:color="auto"/>
          </w:divBdr>
        </w:div>
      </w:divsChild>
    </w:div>
    <w:div w:id="84636335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1286101">
      <w:bodyDiv w:val="1"/>
      <w:marLeft w:val="0"/>
      <w:marRight w:val="0"/>
      <w:marTop w:val="0"/>
      <w:marBottom w:val="0"/>
      <w:divBdr>
        <w:top w:val="none" w:sz="0" w:space="0" w:color="auto"/>
        <w:left w:val="none" w:sz="0" w:space="0" w:color="auto"/>
        <w:bottom w:val="none" w:sz="0" w:space="0" w:color="auto"/>
        <w:right w:val="none" w:sz="0" w:space="0" w:color="auto"/>
      </w:divBdr>
      <w:divsChild>
        <w:div w:id="204100009">
          <w:marLeft w:val="346"/>
          <w:marRight w:val="0"/>
          <w:marTop w:val="0"/>
          <w:marBottom w:val="120"/>
          <w:divBdr>
            <w:top w:val="none" w:sz="0" w:space="0" w:color="auto"/>
            <w:left w:val="none" w:sz="0" w:space="0" w:color="auto"/>
            <w:bottom w:val="none" w:sz="0" w:space="0" w:color="auto"/>
            <w:right w:val="none" w:sz="0" w:space="0" w:color="auto"/>
          </w:divBdr>
        </w:div>
        <w:div w:id="975178620">
          <w:marLeft w:val="806"/>
          <w:marRight w:val="0"/>
          <w:marTop w:val="0"/>
          <w:marBottom w:val="120"/>
          <w:divBdr>
            <w:top w:val="none" w:sz="0" w:space="0" w:color="auto"/>
            <w:left w:val="none" w:sz="0" w:space="0" w:color="auto"/>
            <w:bottom w:val="none" w:sz="0" w:space="0" w:color="auto"/>
            <w:right w:val="none" w:sz="0" w:space="0" w:color="auto"/>
          </w:divBdr>
        </w:div>
        <w:div w:id="1126629494">
          <w:marLeft w:val="1354"/>
          <w:marRight w:val="0"/>
          <w:marTop w:val="0"/>
          <w:marBottom w:val="120"/>
          <w:divBdr>
            <w:top w:val="none" w:sz="0" w:space="0" w:color="auto"/>
            <w:left w:val="none" w:sz="0" w:space="0" w:color="auto"/>
            <w:bottom w:val="none" w:sz="0" w:space="0" w:color="auto"/>
            <w:right w:val="none" w:sz="0" w:space="0" w:color="auto"/>
          </w:divBdr>
        </w:div>
      </w:divsChild>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6698838">
      <w:bodyDiv w:val="1"/>
      <w:marLeft w:val="0"/>
      <w:marRight w:val="0"/>
      <w:marTop w:val="0"/>
      <w:marBottom w:val="0"/>
      <w:divBdr>
        <w:top w:val="none" w:sz="0" w:space="0" w:color="auto"/>
        <w:left w:val="none" w:sz="0" w:space="0" w:color="auto"/>
        <w:bottom w:val="none" w:sz="0" w:space="0" w:color="auto"/>
        <w:right w:val="none" w:sz="0" w:space="0" w:color="auto"/>
      </w:divBdr>
    </w:div>
    <w:div w:id="884096321">
      <w:bodyDiv w:val="1"/>
      <w:marLeft w:val="0"/>
      <w:marRight w:val="0"/>
      <w:marTop w:val="0"/>
      <w:marBottom w:val="0"/>
      <w:divBdr>
        <w:top w:val="none" w:sz="0" w:space="0" w:color="auto"/>
        <w:left w:val="none" w:sz="0" w:space="0" w:color="auto"/>
        <w:bottom w:val="none" w:sz="0" w:space="0" w:color="auto"/>
        <w:right w:val="none" w:sz="0" w:space="0" w:color="auto"/>
      </w:divBdr>
    </w:div>
    <w:div w:id="891036694">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34097020">
      <w:bodyDiv w:val="1"/>
      <w:marLeft w:val="0"/>
      <w:marRight w:val="0"/>
      <w:marTop w:val="0"/>
      <w:marBottom w:val="0"/>
      <w:divBdr>
        <w:top w:val="none" w:sz="0" w:space="0" w:color="auto"/>
        <w:left w:val="none" w:sz="0" w:space="0" w:color="auto"/>
        <w:bottom w:val="none" w:sz="0" w:space="0" w:color="auto"/>
        <w:right w:val="none" w:sz="0" w:space="0" w:color="auto"/>
      </w:divBdr>
    </w:div>
    <w:div w:id="950354921">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89093690">
      <w:bodyDiv w:val="1"/>
      <w:marLeft w:val="0"/>
      <w:marRight w:val="0"/>
      <w:marTop w:val="0"/>
      <w:marBottom w:val="0"/>
      <w:divBdr>
        <w:top w:val="none" w:sz="0" w:space="0" w:color="auto"/>
        <w:left w:val="none" w:sz="0" w:space="0" w:color="auto"/>
        <w:bottom w:val="none" w:sz="0" w:space="0" w:color="auto"/>
        <w:right w:val="none" w:sz="0" w:space="0" w:color="auto"/>
      </w:divBdr>
    </w:div>
    <w:div w:id="1004475031">
      <w:bodyDiv w:val="1"/>
      <w:marLeft w:val="0"/>
      <w:marRight w:val="0"/>
      <w:marTop w:val="0"/>
      <w:marBottom w:val="0"/>
      <w:divBdr>
        <w:top w:val="none" w:sz="0" w:space="0" w:color="auto"/>
        <w:left w:val="none" w:sz="0" w:space="0" w:color="auto"/>
        <w:bottom w:val="none" w:sz="0" w:space="0" w:color="auto"/>
        <w:right w:val="none" w:sz="0" w:space="0" w:color="auto"/>
      </w:divBdr>
    </w:div>
    <w:div w:id="1020475607">
      <w:bodyDiv w:val="1"/>
      <w:marLeft w:val="0"/>
      <w:marRight w:val="0"/>
      <w:marTop w:val="0"/>
      <w:marBottom w:val="0"/>
      <w:divBdr>
        <w:top w:val="none" w:sz="0" w:space="0" w:color="auto"/>
        <w:left w:val="none" w:sz="0" w:space="0" w:color="auto"/>
        <w:bottom w:val="none" w:sz="0" w:space="0" w:color="auto"/>
        <w:right w:val="none" w:sz="0" w:space="0" w:color="auto"/>
      </w:divBdr>
      <w:divsChild>
        <w:div w:id="697898346">
          <w:marLeft w:val="547"/>
          <w:marRight w:val="0"/>
          <w:marTop w:val="0"/>
          <w:marBottom w:val="0"/>
          <w:divBdr>
            <w:top w:val="none" w:sz="0" w:space="0" w:color="auto"/>
            <w:left w:val="none" w:sz="0" w:space="0" w:color="auto"/>
            <w:bottom w:val="none" w:sz="0" w:space="0" w:color="auto"/>
            <w:right w:val="none" w:sz="0" w:space="0" w:color="auto"/>
          </w:divBdr>
        </w:div>
        <w:div w:id="846408632">
          <w:marLeft w:val="547"/>
          <w:marRight w:val="0"/>
          <w:marTop w:val="0"/>
          <w:marBottom w:val="0"/>
          <w:divBdr>
            <w:top w:val="none" w:sz="0" w:space="0" w:color="auto"/>
            <w:left w:val="none" w:sz="0" w:space="0" w:color="auto"/>
            <w:bottom w:val="none" w:sz="0" w:space="0" w:color="auto"/>
            <w:right w:val="none" w:sz="0" w:space="0" w:color="auto"/>
          </w:divBdr>
        </w:div>
        <w:div w:id="882210756">
          <w:marLeft w:val="547"/>
          <w:marRight w:val="0"/>
          <w:marTop w:val="0"/>
          <w:marBottom w:val="0"/>
          <w:divBdr>
            <w:top w:val="none" w:sz="0" w:space="0" w:color="auto"/>
            <w:left w:val="none" w:sz="0" w:space="0" w:color="auto"/>
            <w:bottom w:val="none" w:sz="0" w:space="0" w:color="auto"/>
            <w:right w:val="none" w:sz="0" w:space="0" w:color="auto"/>
          </w:divBdr>
        </w:div>
        <w:div w:id="1789274831">
          <w:marLeft w:val="547"/>
          <w:marRight w:val="0"/>
          <w:marTop w:val="0"/>
          <w:marBottom w:val="0"/>
          <w:divBdr>
            <w:top w:val="none" w:sz="0" w:space="0" w:color="auto"/>
            <w:left w:val="none" w:sz="0" w:space="0" w:color="auto"/>
            <w:bottom w:val="none" w:sz="0" w:space="0" w:color="auto"/>
            <w:right w:val="none" w:sz="0" w:space="0" w:color="auto"/>
          </w:divBdr>
        </w:div>
        <w:div w:id="111217199">
          <w:marLeft w:val="547"/>
          <w:marRight w:val="0"/>
          <w:marTop w:val="0"/>
          <w:marBottom w:val="0"/>
          <w:divBdr>
            <w:top w:val="none" w:sz="0" w:space="0" w:color="auto"/>
            <w:left w:val="none" w:sz="0" w:space="0" w:color="auto"/>
            <w:bottom w:val="none" w:sz="0" w:space="0" w:color="auto"/>
            <w:right w:val="none" w:sz="0" w:space="0" w:color="auto"/>
          </w:divBdr>
        </w:div>
        <w:div w:id="129639163">
          <w:marLeft w:val="547"/>
          <w:marRight w:val="0"/>
          <w:marTop w:val="0"/>
          <w:marBottom w:val="0"/>
          <w:divBdr>
            <w:top w:val="none" w:sz="0" w:space="0" w:color="auto"/>
            <w:left w:val="none" w:sz="0" w:space="0" w:color="auto"/>
            <w:bottom w:val="none" w:sz="0" w:space="0" w:color="auto"/>
            <w:right w:val="none" w:sz="0" w:space="0" w:color="auto"/>
          </w:divBdr>
        </w:div>
        <w:div w:id="55514472">
          <w:marLeft w:val="547"/>
          <w:marRight w:val="0"/>
          <w:marTop w:val="0"/>
          <w:marBottom w:val="0"/>
          <w:divBdr>
            <w:top w:val="none" w:sz="0" w:space="0" w:color="auto"/>
            <w:left w:val="none" w:sz="0" w:space="0" w:color="auto"/>
            <w:bottom w:val="none" w:sz="0" w:space="0" w:color="auto"/>
            <w:right w:val="none" w:sz="0" w:space="0" w:color="auto"/>
          </w:divBdr>
        </w:div>
      </w:divsChild>
    </w:div>
    <w:div w:id="102609771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90348243">
      <w:bodyDiv w:val="1"/>
      <w:marLeft w:val="0"/>
      <w:marRight w:val="0"/>
      <w:marTop w:val="0"/>
      <w:marBottom w:val="0"/>
      <w:divBdr>
        <w:top w:val="none" w:sz="0" w:space="0" w:color="auto"/>
        <w:left w:val="none" w:sz="0" w:space="0" w:color="auto"/>
        <w:bottom w:val="none" w:sz="0" w:space="0" w:color="auto"/>
        <w:right w:val="none" w:sz="0" w:space="0" w:color="auto"/>
      </w:divBdr>
    </w:div>
    <w:div w:id="1106732712">
      <w:bodyDiv w:val="1"/>
      <w:marLeft w:val="0"/>
      <w:marRight w:val="0"/>
      <w:marTop w:val="0"/>
      <w:marBottom w:val="0"/>
      <w:divBdr>
        <w:top w:val="none" w:sz="0" w:space="0" w:color="auto"/>
        <w:left w:val="none" w:sz="0" w:space="0" w:color="auto"/>
        <w:bottom w:val="none" w:sz="0" w:space="0" w:color="auto"/>
        <w:right w:val="none" w:sz="0" w:space="0" w:color="auto"/>
      </w:divBdr>
      <w:divsChild>
        <w:div w:id="1729842333">
          <w:marLeft w:val="446"/>
          <w:marRight w:val="0"/>
          <w:marTop w:val="0"/>
          <w:marBottom w:val="0"/>
          <w:divBdr>
            <w:top w:val="none" w:sz="0" w:space="0" w:color="auto"/>
            <w:left w:val="none" w:sz="0" w:space="0" w:color="auto"/>
            <w:bottom w:val="none" w:sz="0" w:space="0" w:color="auto"/>
            <w:right w:val="none" w:sz="0" w:space="0" w:color="auto"/>
          </w:divBdr>
        </w:div>
      </w:divsChild>
    </w:div>
    <w:div w:id="1122311404">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454076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77189659">
      <w:bodyDiv w:val="1"/>
      <w:marLeft w:val="0"/>
      <w:marRight w:val="0"/>
      <w:marTop w:val="0"/>
      <w:marBottom w:val="0"/>
      <w:divBdr>
        <w:top w:val="none" w:sz="0" w:space="0" w:color="auto"/>
        <w:left w:val="none" w:sz="0" w:space="0" w:color="auto"/>
        <w:bottom w:val="none" w:sz="0" w:space="0" w:color="auto"/>
        <w:right w:val="none" w:sz="0" w:space="0" w:color="auto"/>
      </w:divBdr>
    </w:div>
    <w:div w:id="1180587531">
      <w:bodyDiv w:val="1"/>
      <w:marLeft w:val="0"/>
      <w:marRight w:val="0"/>
      <w:marTop w:val="0"/>
      <w:marBottom w:val="0"/>
      <w:divBdr>
        <w:top w:val="none" w:sz="0" w:space="0" w:color="auto"/>
        <w:left w:val="none" w:sz="0" w:space="0" w:color="auto"/>
        <w:bottom w:val="none" w:sz="0" w:space="0" w:color="auto"/>
        <w:right w:val="none" w:sz="0" w:space="0" w:color="auto"/>
      </w:divBdr>
      <w:divsChild>
        <w:div w:id="514803171">
          <w:marLeft w:val="403"/>
          <w:marRight w:val="0"/>
          <w:marTop w:val="0"/>
          <w:marBottom w:val="120"/>
          <w:divBdr>
            <w:top w:val="none" w:sz="0" w:space="0" w:color="auto"/>
            <w:left w:val="none" w:sz="0" w:space="0" w:color="auto"/>
            <w:bottom w:val="none" w:sz="0" w:space="0" w:color="auto"/>
            <w:right w:val="none" w:sz="0" w:space="0" w:color="auto"/>
          </w:divBdr>
        </w:div>
        <w:div w:id="605188075">
          <w:marLeft w:val="835"/>
          <w:marRight w:val="0"/>
          <w:marTop w:val="0"/>
          <w:marBottom w:val="120"/>
          <w:divBdr>
            <w:top w:val="none" w:sz="0" w:space="0" w:color="auto"/>
            <w:left w:val="none" w:sz="0" w:space="0" w:color="auto"/>
            <w:bottom w:val="none" w:sz="0" w:space="0" w:color="auto"/>
            <w:right w:val="none" w:sz="0" w:space="0" w:color="auto"/>
          </w:divBdr>
        </w:div>
      </w:divsChild>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0243316">
      <w:bodyDiv w:val="1"/>
      <w:marLeft w:val="0"/>
      <w:marRight w:val="0"/>
      <w:marTop w:val="0"/>
      <w:marBottom w:val="0"/>
      <w:divBdr>
        <w:top w:val="none" w:sz="0" w:space="0" w:color="auto"/>
        <w:left w:val="none" w:sz="0" w:space="0" w:color="auto"/>
        <w:bottom w:val="none" w:sz="0" w:space="0" w:color="auto"/>
        <w:right w:val="none" w:sz="0" w:space="0" w:color="auto"/>
      </w:divBdr>
      <w:divsChild>
        <w:div w:id="376127060">
          <w:marLeft w:val="806"/>
          <w:marRight w:val="0"/>
          <w:marTop w:val="75"/>
          <w:marBottom w:val="0"/>
          <w:divBdr>
            <w:top w:val="none" w:sz="0" w:space="0" w:color="auto"/>
            <w:left w:val="none" w:sz="0" w:space="0" w:color="auto"/>
            <w:bottom w:val="none" w:sz="0" w:space="0" w:color="auto"/>
            <w:right w:val="none" w:sz="0" w:space="0" w:color="auto"/>
          </w:divBdr>
        </w:div>
      </w:divsChild>
    </w:div>
    <w:div w:id="1201358545">
      <w:bodyDiv w:val="1"/>
      <w:marLeft w:val="0"/>
      <w:marRight w:val="0"/>
      <w:marTop w:val="0"/>
      <w:marBottom w:val="0"/>
      <w:divBdr>
        <w:top w:val="none" w:sz="0" w:space="0" w:color="auto"/>
        <w:left w:val="none" w:sz="0" w:space="0" w:color="auto"/>
        <w:bottom w:val="none" w:sz="0" w:space="0" w:color="auto"/>
        <w:right w:val="none" w:sz="0" w:space="0" w:color="auto"/>
      </w:divBdr>
      <w:divsChild>
        <w:div w:id="850754462">
          <w:marLeft w:val="806"/>
          <w:marRight w:val="0"/>
          <w:marTop w:val="75"/>
          <w:marBottom w:val="0"/>
          <w:divBdr>
            <w:top w:val="none" w:sz="0" w:space="0" w:color="auto"/>
            <w:left w:val="none" w:sz="0" w:space="0" w:color="auto"/>
            <w:bottom w:val="none" w:sz="0" w:space="0" w:color="auto"/>
            <w:right w:val="none" w:sz="0" w:space="0" w:color="auto"/>
          </w:divBdr>
        </w:div>
        <w:div w:id="564951737">
          <w:marLeft w:val="1354"/>
          <w:marRight w:val="0"/>
          <w:marTop w:val="75"/>
          <w:marBottom w:val="0"/>
          <w:divBdr>
            <w:top w:val="none" w:sz="0" w:space="0" w:color="auto"/>
            <w:left w:val="none" w:sz="0" w:space="0" w:color="auto"/>
            <w:bottom w:val="none" w:sz="0" w:space="0" w:color="auto"/>
            <w:right w:val="none" w:sz="0" w:space="0" w:color="auto"/>
          </w:divBdr>
        </w:div>
        <w:div w:id="1597709420">
          <w:marLeft w:val="1886"/>
          <w:marRight w:val="0"/>
          <w:marTop w:val="75"/>
          <w:marBottom w:val="0"/>
          <w:divBdr>
            <w:top w:val="none" w:sz="0" w:space="0" w:color="auto"/>
            <w:left w:val="none" w:sz="0" w:space="0" w:color="auto"/>
            <w:bottom w:val="none" w:sz="0" w:space="0" w:color="auto"/>
            <w:right w:val="none" w:sz="0" w:space="0" w:color="auto"/>
          </w:divBdr>
        </w:div>
        <w:div w:id="644435486">
          <w:marLeft w:val="1886"/>
          <w:marRight w:val="0"/>
          <w:marTop w:val="75"/>
          <w:marBottom w:val="0"/>
          <w:divBdr>
            <w:top w:val="none" w:sz="0" w:space="0" w:color="auto"/>
            <w:left w:val="none" w:sz="0" w:space="0" w:color="auto"/>
            <w:bottom w:val="none" w:sz="0" w:space="0" w:color="auto"/>
            <w:right w:val="none" w:sz="0" w:space="0" w:color="auto"/>
          </w:divBdr>
        </w:div>
        <w:div w:id="1476143995">
          <w:marLeft w:val="1354"/>
          <w:marRight w:val="0"/>
          <w:marTop w:val="75"/>
          <w:marBottom w:val="0"/>
          <w:divBdr>
            <w:top w:val="none" w:sz="0" w:space="0" w:color="auto"/>
            <w:left w:val="none" w:sz="0" w:space="0" w:color="auto"/>
            <w:bottom w:val="none" w:sz="0" w:space="0" w:color="auto"/>
            <w:right w:val="none" w:sz="0" w:space="0" w:color="auto"/>
          </w:divBdr>
        </w:div>
        <w:div w:id="1174026879">
          <w:marLeft w:val="1886"/>
          <w:marRight w:val="0"/>
          <w:marTop w:val="75"/>
          <w:marBottom w:val="0"/>
          <w:divBdr>
            <w:top w:val="none" w:sz="0" w:space="0" w:color="auto"/>
            <w:left w:val="none" w:sz="0" w:space="0" w:color="auto"/>
            <w:bottom w:val="none" w:sz="0" w:space="0" w:color="auto"/>
            <w:right w:val="none" w:sz="0" w:space="0" w:color="auto"/>
          </w:divBdr>
        </w:div>
        <w:div w:id="1173762060">
          <w:marLeft w:val="1886"/>
          <w:marRight w:val="0"/>
          <w:marTop w:val="75"/>
          <w:marBottom w:val="0"/>
          <w:divBdr>
            <w:top w:val="none" w:sz="0" w:space="0" w:color="auto"/>
            <w:left w:val="none" w:sz="0" w:space="0" w:color="auto"/>
            <w:bottom w:val="none" w:sz="0" w:space="0" w:color="auto"/>
            <w:right w:val="none" w:sz="0" w:space="0" w:color="auto"/>
          </w:divBdr>
        </w:div>
        <w:div w:id="884029175">
          <w:marLeft w:val="1354"/>
          <w:marRight w:val="0"/>
          <w:marTop w:val="75"/>
          <w:marBottom w:val="0"/>
          <w:divBdr>
            <w:top w:val="none" w:sz="0" w:space="0" w:color="auto"/>
            <w:left w:val="none" w:sz="0" w:space="0" w:color="auto"/>
            <w:bottom w:val="none" w:sz="0" w:space="0" w:color="auto"/>
            <w:right w:val="none" w:sz="0" w:space="0" w:color="auto"/>
          </w:divBdr>
        </w:div>
        <w:div w:id="1313369949">
          <w:marLeft w:val="1886"/>
          <w:marRight w:val="0"/>
          <w:marTop w:val="75"/>
          <w:marBottom w:val="0"/>
          <w:divBdr>
            <w:top w:val="none" w:sz="0" w:space="0" w:color="auto"/>
            <w:left w:val="none" w:sz="0" w:space="0" w:color="auto"/>
            <w:bottom w:val="none" w:sz="0" w:space="0" w:color="auto"/>
            <w:right w:val="none" w:sz="0" w:space="0" w:color="auto"/>
          </w:divBdr>
        </w:div>
        <w:div w:id="210192771">
          <w:marLeft w:val="1886"/>
          <w:marRight w:val="0"/>
          <w:marTop w:val="75"/>
          <w:marBottom w:val="0"/>
          <w:divBdr>
            <w:top w:val="none" w:sz="0" w:space="0" w:color="auto"/>
            <w:left w:val="none" w:sz="0" w:space="0" w:color="auto"/>
            <w:bottom w:val="none" w:sz="0" w:space="0" w:color="auto"/>
            <w:right w:val="none" w:sz="0" w:space="0" w:color="auto"/>
          </w:divBdr>
        </w:div>
      </w:divsChild>
    </w:div>
    <w:div w:id="1216819902">
      <w:bodyDiv w:val="1"/>
      <w:marLeft w:val="0"/>
      <w:marRight w:val="0"/>
      <w:marTop w:val="0"/>
      <w:marBottom w:val="0"/>
      <w:divBdr>
        <w:top w:val="none" w:sz="0" w:space="0" w:color="auto"/>
        <w:left w:val="none" w:sz="0" w:space="0" w:color="auto"/>
        <w:bottom w:val="none" w:sz="0" w:space="0" w:color="auto"/>
        <w:right w:val="none" w:sz="0" w:space="0" w:color="auto"/>
      </w:divBdr>
      <w:divsChild>
        <w:div w:id="336927256">
          <w:marLeft w:val="0"/>
          <w:marRight w:val="0"/>
          <w:marTop w:val="0"/>
          <w:marBottom w:val="0"/>
          <w:divBdr>
            <w:top w:val="none" w:sz="0" w:space="0" w:color="auto"/>
            <w:left w:val="none" w:sz="0" w:space="0" w:color="auto"/>
            <w:bottom w:val="none" w:sz="0" w:space="0" w:color="auto"/>
            <w:right w:val="none" w:sz="0" w:space="0" w:color="auto"/>
          </w:divBdr>
        </w:div>
        <w:div w:id="181631527">
          <w:marLeft w:val="0"/>
          <w:marRight w:val="0"/>
          <w:marTop w:val="0"/>
          <w:marBottom w:val="0"/>
          <w:divBdr>
            <w:top w:val="none" w:sz="0" w:space="0" w:color="auto"/>
            <w:left w:val="none" w:sz="0" w:space="0" w:color="auto"/>
            <w:bottom w:val="none" w:sz="0" w:space="0" w:color="auto"/>
            <w:right w:val="none" w:sz="0" w:space="0" w:color="auto"/>
          </w:divBdr>
        </w:div>
        <w:div w:id="88743560">
          <w:marLeft w:val="0"/>
          <w:marRight w:val="0"/>
          <w:marTop w:val="0"/>
          <w:marBottom w:val="0"/>
          <w:divBdr>
            <w:top w:val="none" w:sz="0" w:space="0" w:color="auto"/>
            <w:left w:val="none" w:sz="0" w:space="0" w:color="auto"/>
            <w:bottom w:val="none" w:sz="0" w:space="0" w:color="auto"/>
            <w:right w:val="none" w:sz="0" w:space="0" w:color="auto"/>
          </w:divBdr>
        </w:div>
      </w:divsChild>
    </w:div>
    <w:div w:id="1217820213">
      <w:bodyDiv w:val="1"/>
      <w:marLeft w:val="0"/>
      <w:marRight w:val="0"/>
      <w:marTop w:val="0"/>
      <w:marBottom w:val="0"/>
      <w:divBdr>
        <w:top w:val="none" w:sz="0" w:space="0" w:color="auto"/>
        <w:left w:val="none" w:sz="0" w:space="0" w:color="auto"/>
        <w:bottom w:val="none" w:sz="0" w:space="0" w:color="auto"/>
        <w:right w:val="none" w:sz="0" w:space="0" w:color="auto"/>
      </w:divBdr>
      <w:divsChild>
        <w:div w:id="350186542">
          <w:marLeft w:val="1166"/>
          <w:marRight w:val="0"/>
          <w:marTop w:val="115"/>
          <w:marBottom w:val="0"/>
          <w:divBdr>
            <w:top w:val="none" w:sz="0" w:space="0" w:color="auto"/>
            <w:left w:val="none" w:sz="0" w:space="0" w:color="auto"/>
            <w:bottom w:val="none" w:sz="0" w:space="0" w:color="auto"/>
            <w:right w:val="none" w:sz="0" w:space="0" w:color="auto"/>
          </w:divBdr>
        </w:div>
        <w:div w:id="497690795">
          <w:marLeft w:val="1166"/>
          <w:marRight w:val="0"/>
          <w:marTop w:val="115"/>
          <w:marBottom w:val="0"/>
          <w:divBdr>
            <w:top w:val="none" w:sz="0" w:space="0" w:color="auto"/>
            <w:left w:val="none" w:sz="0" w:space="0" w:color="auto"/>
            <w:bottom w:val="none" w:sz="0" w:space="0" w:color="auto"/>
            <w:right w:val="none" w:sz="0" w:space="0" w:color="auto"/>
          </w:divBdr>
        </w:div>
        <w:div w:id="521095240">
          <w:marLeft w:val="1166"/>
          <w:marRight w:val="0"/>
          <w:marTop w:val="115"/>
          <w:marBottom w:val="0"/>
          <w:divBdr>
            <w:top w:val="none" w:sz="0" w:space="0" w:color="auto"/>
            <w:left w:val="none" w:sz="0" w:space="0" w:color="auto"/>
            <w:bottom w:val="none" w:sz="0" w:space="0" w:color="auto"/>
            <w:right w:val="none" w:sz="0" w:space="0" w:color="auto"/>
          </w:divBdr>
        </w:div>
        <w:div w:id="554312547">
          <w:marLeft w:val="1166"/>
          <w:marRight w:val="0"/>
          <w:marTop w:val="115"/>
          <w:marBottom w:val="0"/>
          <w:divBdr>
            <w:top w:val="none" w:sz="0" w:space="0" w:color="auto"/>
            <w:left w:val="none" w:sz="0" w:space="0" w:color="auto"/>
            <w:bottom w:val="none" w:sz="0" w:space="0" w:color="auto"/>
            <w:right w:val="none" w:sz="0" w:space="0" w:color="auto"/>
          </w:divBdr>
        </w:div>
        <w:div w:id="674260892">
          <w:marLeft w:val="1166"/>
          <w:marRight w:val="0"/>
          <w:marTop w:val="115"/>
          <w:marBottom w:val="0"/>
          <w:divBdr>
            <w:top w:val="none" w:sz="0" w:space="0" w:color="auto"/>
            <w:left w:val="none" w:sz="0" w:space="0" w:color="auto"/>
            <w:bottom w:val="none" w:sz="0" w:space="0" w:color="auto"/>
            <w:right w:val="none" w:sz="0" w:space="0" w:color="auto"/>
          </w:divBdr>
        </w:div>
        <w:div w:id="1328021654">
          <w:marLeft w:val="547"/>
          <w:marRight w:val="0"/>
          <w:marTop w:val="115"/>
          <w:marBottom w:val="0"/>
          <w:divBdr>
            <w:top w:val="none" w:sz="0" w:space="0" w:color="auto"/>
            <w:left w:val="none" w:sz="0" w:space="0" w:color="auto"/>
            <w:bottom w:val="none" w:sz="0" w:space="0" w:color="auto"/>
            <w:right w:val="none" w:sz="0" w:space="0" w:color="auto"/>
          </w:divBdr>
        </w:div>
        <w:div w:id="1408848241">
          <w:marLeft w:val="1800"/>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45801256">
      <w:bodyDiv w:val="1"/>
      <w:marLeft w:val="0"/>
      <w:marRight w:val="0"/>
      <w:marTop w:val="0"/>
      <w:marBottom w:val="0"/>
      <w:divBdr>
        <w:top w:val="none" w:sz="0" w:space="0" w:color="auto"/>
        <w:left w:val="none" w:sz="0" w:space="0" w:color="auto"/>
        <w:bottom w:val="none" w:sz="0" w:space="0" w:color="auto"/>
        <w:right w:val="none" w:sz="0" w:space="0" w:color="auto"/>
      </w:divBdr>
      <w:divsChild>
        <w:div w:id="2131315263">
          <w:marLeft w:val="806"/>
          <w:marRight w:val="0"/>
          <w:marTop w:val="75"/>
          <w:marBottom w:val="0"/>
          <w:divBdr>
            <w:top w:val="none" w:sz="0" w:space="0" w:color="auto"/>
            <w:left w:val="none" w:sz="0" w:space="0" w:color="auto"/>
            <w:bottom w:val="none" w:sz="0" w:space="0" w:color="auto"/>
            <w:right w:val="none" w:sz="0" w:space="0" w:color="auto"/>
          </w:divBdr>
        </w:div>
        <w:div w:id="1128352528">
          <w:marLeft w:val="806"/>
          <w:marRight w:val="0"/>
          <w:marTop w:val="75"/>
          <w:marBottom w:val="0"/>
          <w:divBdr>
            <w:top w:val="none" w:sz="0" w:space="0" w:color="auto"/>
            <w:left w:val="none" w:sz="0" w:space="0" w:color="auto"/>
            <w:bottom w:val="none" w:sz="0" w:space="0" w:color="auto"/>
            <w:right w:val="none" w:sz="0" w:space="0" w:color="auto"/>
          </w:divBdr>
        </w:div>
      </w:divsChild>
    </w:div>
    <w:div w:id="1263994078">
      <w:bodyDiv w:val="1"/>
      <w:marLeft w:val="0"/>
      <w:marRight w:val="0"/>
      <w:marTop w:val="0"/>
      <w:marBottom w:val="0"/>
      <w:divBdr>
        <w:top w:val="none" w:sz="0" w:space="0" w:color="auto"/>
        <w:left w:val="none" w:sz="0" w:space="0" w:color="auto"/>
        <w:bottom w:val="none" w:sz="0" w:space="0" w:color="auto"/>
        <w:right w:val="none" w:sz="0" w:space="0" w:color="auto"/>
      </w:divBdr>
    </w:div>
    <w:div w:id="1299066766">
      <w:bodyDiv w:val="1"/>
      <w:marLeft w:val="0"/>
      <w:marRight w:val="0"/>
      <w:marTop w:val="0"/>
      <w:marBottom w:val="0"/>
      <w:divBdr>
        <w:top w:val="none" w:sz="0" w:space="0" w:color="auto"/>
        <w:left w:val="none" w:sz="0" w:space="0" w:color="auto"/>
        <w:bottom w:val="none" w:sz="0" w:space="0" w:color="auto"/>
        <w:right w:val="none" w:sz="0" w:space="0" w:color="auto"/>
      </w:divBdr>
    </w:div>
    <w:div w:id="130747360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29944323">
      <w:bodyDiv w:val="1"/>
      <w:marLeft w:val="0"/>
      <w:marRight w:val="0"/>
      <w:marTop w:val="0"/>
      <w:marBottom w:val="0"/>
      <w:divBdr>
        <w:top w:val="none" w:sz="0" w:space="0" w:color="auto"/>
        <w:left w:val="none" w:sz="0" w:space="0" w:color="auto"/>
        <w:bottom w:val="none" w:sz="0" w:space="0" w:color="auto"/>
        <w:right w:val="none" w:sz="0" w:space="0" w:color="auto"/>
      </w:divBdr>
      <w:divsChild>
        <w:div w:id="1856461516">
          <w:marLeft w:val="0"/>
          <w:marRight w:val="0"/>
          <w:marTop w:val="0"/>
          <w:marBottom w:val="0"/>
          <w:divBdr>
            <w:top w:val="none" w:sz="0" w:space="0" w:color="auto"/>
            <w:left w:val="none" w:sz="0" w:space="0" w:color="auto"/>
            <w:bottom w:val="none" w:sz="0" w:space="0" w:color="auto"/>
            <w:right w:val="none" w:sz="0" w:space="0" w:color="auto"/>
          </w:divBdr>
        </w:div>
        <w:div w:id="1651205680">
          <w:marLeft w:val="0"/>
          <w:marRight w:val="0"/>
          <w:marTop w:val="0"/>
          <w:marBottom w:val="0"/>
          <w:divBdr>
            <w:top w:val="none" w:sz="0" w:space="0" w:color="auto"/>
            <w:left w:val="none" w:sz="0" w:space="0" w:color="auto"/>
            <w:bottom w:val="none" w:sz="0" w:space="0" w:color="auto"/>
            <w:right w:val="none" w:sz="0" w:space="0" w:color="auto"/>
          </w:divBdr>
        </w:div>
        <w:div w:id="2013798718">
          <w:marLeft w:val="0"/>
          <w:marRight w:val="0"/>
          <w:marTop w:val="0"/>
          <w:marBottom w:val="0"/>
          <w:divBdr>
            <w:top w:val="none" w:sz="0" w:space="0" w:color="auto"/>
            <w:left w:val="none" w:sz="0" w:space="0" w:color="auto"/>
            <w:bottom w:val="none" w:sz="0" w:space="0" w:color="auto"/>
            <w:right w:val="none" w:sz="0" w:space="0" w:color="auto"/>
          </w:divBdr>
        </w:div>
      </w:divsChild>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3802593">
      <w:bodyDiv w:val="1"/>
      <w:marLeft w:val="0"/>
      <w:marRight w:val="0"/>
      <w:marTop w:val="0"/>
      <w:marBottom w:val="0"/>
      <w:divBdr>
        <w:top w:val="none" w:sz="0" w:space="0" w:color="auto"/>
        <w:left w:val="none" w:sz="0" w:space="0" w:color="auto"/>
        <w:bottom w:val="none" w:sz="0" w:space="0" w:color="auto"/>
        <w:right w:val="none" w:sz="0" w:space="0" w:color="auto"/>
      </w:divBdr>
      <w:divsChild>
        <w:div w:id="607322649">
          <w:marLeft w:val="0"/>
          <w:marRight w:val="0"/>
          <w:marTop w:val="0"/>
          <w:marBottom w:val="0"/>
          <w:divBdr>
            <w:top w:val="none" w:sz="0" w:space="0" w:color="auto"/>
            <w:left w:val="none" w:sz="0" w:space="0" w:color="auto"/>
            <w:bottom w:val="none" w:sz="0" w:space="0" w:color="auto"/>
            <w:right w:val="none" w:sz="0" w:space="0" w:color="auto"/>
          </w:divBdr>
          <w:divsChild>
            <w:div w:id="1905680939">
              <w:marLeft w:val="0"/>
              <w:marRight w:val="0"/>
              <w:marTop w:val="0"/>
              <w:marBottom w:val="0"/>
              <w:divBdr>
                <w:top w:val="none" w:sz="0" w:space="0" w:color="auto"/>
                <w:left w:val="none" w:sz="0" w:space="0" w:color="auto"/>
                <w:bottom w:val="none" w:sz="0" w:space="0" w:color="auto"/>
                <w:right w:val="none" w:sz="0" w:space="0" w:color="auto"/>
              </w:divBdr>
              <w:divsChild>
                <w:div w:id="246312209">
                  <w:marLeft w:val="0"/>
                  <w:marRight w:val="0"/>
                  <w:marTop w:val="0"/>
                  <w:marBottom w:val="0"/>
                  <w:divBdr>
                    <w:top w:val="none" w:sz="0" w:space="0" w:color="auto"/>
                    <w:left w:val="none" w:sz="0" w:space="0" w:color="auto"/>
                    <w:bottom w:val="none" w:sz="0" w:space="0" w:color="auto"/>
                    <w:right w:val="none" w:sz="0" w:space="0" w:color="auto"/>
                  </w:divBdr>
                </w:div>
                <w:div w:id="767698228">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15531845">
                      <w:marLeft w:val="0"/>
                      <w:marRight w:val="0"/>
                      <w:marTop w:val="0"/>
                      <w:marBottom w:val="0"/>
                      <w:divBdr>
                        <w:top w:val="none" w:sz="0" w:space="0" w:color="auto"/>
                        <w:left w:val="none" w:sz="0" w:space="0" w:color="auto"/>
                        <w:bottom w:val="none" w:sz="0" w:space="0" w:color="auto"/>
                        <w:right w:val="none" w:sz="0" w:space="0" w:color="auto"/>
                      </w:divBdr>
                      <w:divsChild>
                        <w:div w:id="599798493">
                          <w:marLeft w:val="0"/>
                          <w:marRight w:val="0"/>
                          <w:marTop w:val="0"/>
                          <w:marBottom w:val="0"/>
                          <w:divBdr>
                            <w:top w:val="none" w:sz="0" w:space="0" w:color="auto"/>
                            <w:left w:val="none" w:sz="0" w:space="0" w:color="auto"/>
                            <w:bottom w:val="none" w:sz="0" w:space="0" w:color="auto"/>
                            <w:right w:val="none" w:sz="0" w:space="0" w:color="auto"/>
                          </w:divBdr>
                          <w:divsChild>
                            <w:div w:id="1897466391">
                              <w:marLeft w:val="0"/>
                              <w:marRight w:val="0"/>
                              <w:marTop w:val="0"/>
                              <w:marBottom w:val="0"/>
                              <w:divBdr>
                                <w:top w:val="none" w:sz="0" w:space="0" w:color="auto"/>
                                <w:left w:val="none" w:sz="0" w:space="0" w:color="auto"/>
                                <w:bottom w:val="none" w:sz="0" w:space="0" w:color="auto"/>
                                <w:right w:val="none" w:sz="0" w:space="0" w:color="auto"/>
                              </w:divBdr>
                              <w:divsChild>
                                <w:div w:id="627274079">
                                  <w:marLeft w:val="0"/>
                                  <w:marRight w:val="0"/>
                                  <w:marTop w:val="0"/>
                                  <w:marBottom w:val="0"/>
                                  <w:divBdr>
                                    <w:top w:val="none" w:sz="0" w:space="0" w:color="auto"/>
                                    <w:left w:val="none" w:sz="0" w:space="0" w:color="auto"/>
                                    <w:bottom w:val="none" w:sz="0" w:space="0" w:color="auto"/>
                                    <w:right w:val="none" w:sz="0" w:space="0" w:color="auto"/>
                                  </w:divBdr>
                                  <w:divsChild>
                                    <w:div w:id="123544836">
                                      <w:marLeft w:val="0"/>
                                      <w:marRight w:val="0"/>
                                      <w:marTop w:val="0"/>
                                      <w:marBottom w:val="0"/>
                                      <w:divBdr>
                                        <w:top w:val="none" w:sz="0" w:space="0" w:color="auto"/>
                                        <w:left w:val="none" w:sz="0" w:space="0" w:color="auto"/>
                                        <w:bottom w:val="none" w:sz="0" w:space="0" w:color="auto"/>
                                        <w:right w:val="none" w:sz="0" w:space="0" w:color="auto"/>
                                      </w:divBdr>
                                      <w:divsChild>
                                        <w:div w:id="462188508">
                                          <w:marLeft w:val="0"/>
                                          <w:marRight w:val="0"/>
                                          <w:marTop w:val="0"/>
                                          <w:marBottom w:val="0"/>
                                          <w:divBdr>
                                            <w:top w:val="none" w:sz="0" w:space="0" w:color="auto"/>
                                            <w:left w:val="none" w:sz="0" w:space="0" w:color="auto"/>
                                            <w:bottom w:val="none" w:sz="0" w:space="0" w:color="auto"/>
                                            <w:right w:val="none" w:sz="0" w:space="0" w:color="auto"/>
                                          </w:divBdr>
                                          <w:divsChild>
                                            <w:div w:id="1325235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06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84215195">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678703532">
                      <w:marLeft w:val="0"/>
                      <w:marRight w:val="0"/>
                      <w:marTop w:val="0"/>
                      <w:marBottom w:val="0"/>
                      <w:divBdr>
                        <w:top w:val="none" w:sz="0" w:space="0" w:color="auto"/>
                        <w:left w:val="none" w:sz="0" w:space="0" w:color="auto"/>
                        <w:bottom w:val="none" w:sz="0" w:space="0" w:color="auto"/>
                        <w:right w:val="none" w:sz="0" w:space="0" w:color="auto"/>
                      </w:divBdr>
                      <w:divsChild>
                        <w:div w:id="1489637201">
                          <w:marLeft w:val="0"/>
                          <w:marRight w:val="0"/>
                          <w:marTop w:val="0"/>
                          <w:marBottom w:val="0"/>
                          <w:divBdr>
                            <w:top w:val="none" w:sz="0" w:space="0" w:color="auto"/>
                            <w:left w:val="none" w:sz="0" w:space="0" w:color="auto"/>
                            <w:bottom w:val="none" w:sz="0" w:space="0" w:color="auto"/>
                            <w:right w:val="none" w:sz="0" w:space="0" w:color="auto"/>
                          </w:divBdr>
                          <w:divsChild>
                            <w:div w:id="790512553">
                              <w:marLeft w:val="0"/>
                              <w:marRight w:val="0"/>
                              <w:marTop w:val="0"/>
                              <w:marBottom w:val="0"/>
                              <w:divBdr>
                                <w:top w:val="none" w:sz="0" w:space="0" w:color="auto"/>
                                <w:left w:val="none" w:sz="0" w:space="0" w:color="auto"/>
                                <w:bottom w:val="none" w:sz="0" w:space="0" w:color="auto"/>
                                <w:right w:val="none" w:sz="0" w:space="0" w:color="auto"/>
                              </w:divBdr>
                              <w:divsChild>
                                <w:div w:id="1249727642">
                                  <w:marLeft w:val="0"/>
                                  <w:marRight w:val="0"/>
                                  <w:marTop w:val="0"/>
                                  <w:marBottom w:val="0"/>
                                  <w:divBdr>
                                    <w:top w:val="none" w:sz="0" w:space="0" w:color="auto"/>
                                    <w:left w:val="none" w:sz="0" w:space="0" w:color="auto"/>
                                    <w:bottom w:val="none" w:sz="0" w:space="0" w:color="auto"/>
                                    <w:right w:val="none" w:sz="0" w:space="0" w:color="auto"/>
                                  </w:divBdr>
                                  <w:divsChild>
                                    <w:div w:id="1846162911">
                                      <w:marLeft w:val="0"/>
                                      <w:marRight w:val="0"/>
                                      <w:marTop w:val="0"/>
                                      <w:marBottom w:val="0"/>
                                      <w:divBdr>
                                        <w:top w:val="none" w:sz="0" w:space="0" w:color="auto"/>
                                        <w:left w:val="none" w:sz="0" w:space="0" w:color="auto"/>
                                        <w:bottom w:val="none" w:sz="0" w:space="0" w:color="auto"/>
                                        <w:right w:val="none" w:sz="0" w:space="0" w:color="auto"/>
                                      </w:divBdr>
                                      <w:divsChild>
                                        <w:div w:id="907495585">
                                          <w:marLeft w:val="0"/>
                                          <w:marRight w:val="0"/>
                                          <w:marTop w:val="0"/>
                                          <w:marBottom w:val="0"/>
                                          <w:divBdr>
                                            <w:top w:val="none" w:sz="0" w:space="0" w:color="auto"/>
                                            <w:left w:val="none" w:sz="0" w:space="0" w:color="auto"/>
                                            <w:bottom w:val="none" w:sz="0" w:space="0" w:color="auto"/>
                                            <w:right w:val="none" w:sz="0" w:space="0" w:color="auto"/>
                                          </w:divBdr>
                                        </w:div>
                                        <w:div w:id="1607736313">
                                          <w:marLeft w:val="0"/>
                                          <w:marRight w:val="0"/>
                                          <w:marTop w:val="0"/>
                                          <w:marBottom w:val="0"/>
                                          <w:divBdr>
                                            <w:top w:val="none" w:sz="0" w:space="0" w:color="auto"/>
                                            <w:left w:val="none" w:sz="0" w:space="0" w:color="auto"/>
                                            <w:bottom w:val="none" w:sz="0" w:space="0" w:color="auto"/>
                                            <w:right w:val="none" w:sz="0" w:space="0" w:color="auto"/>
                                          </w:divBdr>
                                          <w:divsChild>
                                            <w:div w:id="1558857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0604971">
                  <w:marLeft w:val="0"/>
                  <w:marRight w:val="0"/>
                  <w:marTop w:val="0"/>
                  <w:marBottom w:val="0"/>
                  <w:divBdr>
                    <w:top w:val="none" w:sz="0" w:space="0" w:color="auto"/>
                    <w:left w:val="none" w:sz="0" w:space="0" w:color="auto"/>
                    <w:bottom w:val="none" w:sz="0" w:space="0" w:color="auto"/>
                    <w:right w:val="none" w:sz="0" w:space="0" w:color="auto"/>
                  </w:divBdr>
                </w:div>
                <w:div w:id="1042709640">
                  <w:marLeft w:val="0"/>
                  <w:marRight w:val="0"/>
                  <w:marTop w:val="0"/>
                  <w:marBottom w:val="0"/>
                  <w:divBdr>
                    <w:top w:val="none" w:sz="0" w:space="0" w:color="auto"/>
                    <w:left w:val="none" w:sz="0" w:space="0" w:color="auto"/>
                    <w:bottom w:val="none" w:sz="0" w:space="0" w:color="auto"/>
                    <w:right w:val="none" w:sz="0" w:space="0" w:color="auto"/>
                  </w:divBdr>
                  <w:divsChild>
                    <w:div w:id="1503355549">
                      <w:marLeft w:val="0"/>
                      <w:marRight w:val="0"/>
                      <w:marTop w:val="0"/>
                      <w:marBottom w:val="0"/>
                      <w:divBdr>
                        <w:top w:val="none" w:sz="0" w:space="0" w:color="auto"/>
                        <w:left w:val="none" w:sz="0" w:space="0" w:color="auto"/>
                        <w:bottom w:val="none" w:sz="0" w:space="0" w:color="auto"/>
                        <w:right w:val="none" w:sz="0" w:space="0" w:color="auto"/>
                      </w:divBdr>
                      <w:divsChild>
                        <w:div w:id="1292437544">
                          <w:marLeft w:val="0"/>
                          <w:marRight w:val="0"/>
                          <w:marTop w:val="0"/>
                          <w:marBottom w:val="0"/>
                          <w:divBdr>
                            <w:top w:val="none" w:sz="0" w:space="0" w:color="auto"/>
                            <w:left w:val="none" w:sz="0" w:space="0" w:color="auto"/>
                            <w:bottom w:val="none" w:sz="0" w:space="0" w:color="auto"/>
                            <w:right w:val="none" w:sz="0" w:space="0" w:color="auto"/>
                          </w:divBdr>
                        </w:div>
                        <w:div w:id="1976981902">
                          <w:marLeft w:val="0"/>
                          <w:marRight w:val="0"/>
                          <w:marTop w:val="0"/>
                          <w:marBottom w:val="0"/>
                          <w:divBdr>
                            <w:top w:val="none" w:sz="0" w:space="0" w:color="auto"/>
                            <w:left w:val="none" w:sz="0" w:space="0" w:color="auto"/>
                            <w:bottom w:val="none" w:sz="0" w:space="0" w:color="auto"/>
                            <w:right w:val="none" w:sz="0" w:space="0" w:color="auto"/>
                          </w:divBdr>
                          <w:divsChild>
                            <w:div w:id="774594109">
                              <w:marLeft w:val="0"/>
                              <w:marRight w:val="0"/>
                              <w:marTop w:val="0"/>
                              <w:marBottom w:val="0"/>
                              <w:divBdr>
                                <w:top w:val="none" w:sz="0" w:space="0" w:color="auto"/>
                                <w:left w:val="none" w:sz="0" w:space="0" w:color="auto"/>
                                <w:bottom w:val="none" w:sz="0" w:space="0" w:color="auto"/>
                                <w:right w:val="none" w:sz="0" w:space="0" w:color="auto"/>
                              </w:divBdr>
                            </w:div>
                          </w:divsChild>
                        </w:div>
                        <w:div w:id="2111657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592889">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105229413">
                      <w:marLeft w:val="0"/>
                      <w:marRight w:val="0"/>
                      <w:marTop w:val="0"/>
                      <w:marBottom w:val="0"/>
                      <w:divBdr>
                        <w:top w:val="none" w:sz="0" w:space="0" w:color="auto"/>
                        <w:left w:val="none" w:sz="0" w:space="0" w:color="auto"/>
                        <w:bottom w:val="none" w:sz="0" w:space="0" w:color="auto"/>
                        <w:right w:val="none" w:sz="0" w:space="0" w:color="auto"/>
                      </w:divBdr>
                      <w:divsChild>
                        <w:div w:id="462625559">
                          <w:marLeft w:val="0"/>
                          <w:marRight w:val="0"/>
                          <w:marTop w:val="0"/>
                          <w:marBottom w:val="0"/>
                          <w:divBdr>
                            <w:top w:val="none" w:sz="0" w:space="0" w:color="auto"/>
                            <w:left w:val="none" w:sz="0" w:space="0" w:color="auto"/>
                            <w:bottom w:val="none" w:sz="0" w:space="0" w:color="auto"/>
                            <w:right w:val="none" w:sz="0" w:space="0" w:color="auto"/>
                          </w:divBdr>
                          <w:divsChild>
                            <w:div w:id="560216199">
                              <w:marLeft w:val="0"/>
                              <w:marRight w:val="0"/>
                              <w:marTop w:val="0"/>
                              <w:marBottom w:val="0"/>
                              <w:divBdr>
                                <w:top w:val="none" w:sz="0" w:space="0" w:color="auto"/>
                                <w:left w:val="none" w:sz="0" w:space="0" w:color="auto"/>
                                <w:bottom w:val="none" w:sz="0" w:space="0" w:color="auto"/>
                                <w:right w:val="none" w:sz="0" w:space="0" w:color="auto"/>
                              </w:divBdr>
                              <w:divsChild>
                                <w:div w:id="1105030129">
                                  <w:marLeft w:val="0"/>
                                  <w:marRight w:val="0"/>
                                  <w:marTop w:val="0"/>
                                  <w:marBottom w:val="0"/>
                                  <w:divBdr>
                                    <w:top w:val="none" w:sz="0" w:space="0" w:color="auto"/>
                                    <w:left w:val="none" w:sz="0" w:space="0" w:color="auto"/>
                                    <w:bottom w:val="none" w:sz="0" w:space="0" w:color="auto"/>
                                    <w:right w:val="none" w:sz="0" w:space="0" w:color="auto"/>
                                  </w:divBdr>
                                  <w:divsChild>
                                    <w:div w:id="858350734">
                                      <w:marLeft w:val="0"/>
                                      <w:marRight w:val="0"/>
                                      <w:marTop w:val="0"/>
                                      <w:marBottom w:val="0"/>
                                      <w:divBdr>
                                        <w:top w:val="none" w:sz="0" w:space="0" w:color="auto"/>
                                        <w:left w:val="none" w:sz="0" w:space="0" w:color="auto"/>
                                        <w:bottom w:val="none" w:sz="0" w:space="0" w:color="auto"/>
                                        <w:right w:val="none" w:sz="0" w:space="0" w:color="auto"/>
                                      </w:divBdr>
                                    </w:div>
                                  </w:divsChild>
                                </w:div>
                                <w:div w:id="1570924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9645535">
                  <w:marLeft w:val="0"/>
                  <w:marRight w:val="0"/>
                  <w:marTop w:val="0"/>
                  <w:marBottom w:val="0"/>
                  <w:divBdr>
                    <w:top w:val="none" w:sz="0" w:space="0" w:color="auto"/>
                    <w:left w:val="none" w:sz="0" w:space="0" w:color="auto"/>
                    <w:bottom w:val="none" w:sz="0" w:space="0" w:color="auto"/>
                    <w:right w:val="none" w:sz="0" w:space="0" w:color="auto"/>
                  </w:divBdr>
                </w:div>
                <w:div w:id="1308320740">
                  <w:blockQuote w:val="1"/>
                  <w:marLeft w:val="96"/>
                  <w:marRight w:val="0"/>
                  <w:marTop w:val="100"/>
                  <w:marBottom w:val="100"/>
                  <w:divBdr>
                    <w:top w:val="none" w:sz="0" w:space="0" w:color="auto"/>
                    <w:left w:val="single" w:sz="8" w:space="6" w:color="CCCCCC"/>
                    <w:bottom w:val="none" w:sz="0" w:space="0" w:color="auto"/>
                    <w:right w:val="none" w:sz="0" w:space="0" w:color="auto"/>
                  </w:divBdr>
                  <w:divsChild>
                    <w:div w:id="1562061692">
                      <w:marLeft w:val="0"/>
                      <w:marRight w:val="0"/>
                      <w:marTop w:val="0"/>
                      <w:marBottom w:val="0"/>
                      <w:divBdr>
                        <w:top w:val="none" w:sz="0" w:space="0" w:color="auto"/>
                        <w:left w:val="none" w:sz="0" w:space="0" w:color="auto"/>
                        <w:bottom w:val="none" w:sz="0" w:space="0" w:color="auto"/>
                        <w:right w:val="none" w:sz="0" w:space="0" w:color="auto"/>
                      </w:divBdr>
                      <w:divsChild>
                        <w:div w:id="1572302471">
                          <w:marLeft w:val="0"/>
                          <w:marRight w:val="0"/>
                          <w:marTop w:val="0"/>
                          <w:marBottom w:val="0"/>
                          <w:divBdr>
                            <w:top w:val="none" w:sz="0" w:space="0" w:color="auto"/>
                            <w:left w:val="none" w:sz="0" w:space="0" w:color="auto"/>
                            <w:bottom w:val="none" w:sz="0" w:space="0" w:color="auto"/>
                            <w:right w:val="none" w:sz="0" w:space="0" w:color="auto"/>
                          </w:divBdr>
                          <w:divsChild>
                            <w:div w:id="2135176895">
                              <w:marLeft w:val="0"/>
                              <w:marRight w:val="0"/>
                              <w:marTop w:val="0"/>
                              <w:marBottom w:val="0"/>
                              <w:divBdr>
                                <w:top w:val="none" w:sz="0" w:space="0" w:color="auto"/>
                                <w:left w:val="none" w:sz="0" w:space="0" w:color="auto"/>
                                <w:bottom w:val="none" w:sz="0" w:space="0" w:color="auto"/>
                                <w:right w:val="none" w:sz="0" w:space="0" w:color="auto"/>
                              </w:divBdr>
                              <w:divsChild>
                                <w:div w:id="1503932769">
                                  <w:marLeft w:val="0"/>
                                  <w:marRight w:val="0"/>
                                  <w:marTop w:val="0"/>
                                  <w:marBottom w:val="0"/>
                                  <w:divBdr>
                                    <w:top w:val="none" w:sz="0" w:space="0" w:color="auto"/>
                                    <w:left w:val="none" w:sz="0" w:space="0" w:color="auto"/>
                                    <w:bottom w:val="none" w:sz="0" w:space="0" w:color="auto"/>
                                    <w:right w:val="none" w:sz="0" w:space="0" w:color="auto"/>
                                  </w:divBdr>
                                  <w:divsChild>
                                    <w:div w:id="1445230853">
                                      <w:marLeft w:val="0"/>
                                      <w:marRight w:val="0"/>
                                      <w:marTop w:val="0"/>
                                      <w:marBottom w:val="0"/>
                                      <w:divBdr>
                                        <w:top w:val="none" w:sz="0" w:space="0" w:color="auto"/>
                                        <w:left w:val="none" w:sz="0" w:space="0" w:color="auto"/>
                                        <w:bottom w:val="none" w:sz="0" w:space="0" w:color="auto"/>
                                        <w:right w:val="none" w:sz="0" w:space="0" w:color="auto"/>
                                      </w:divBdr>
                                      <w:divsChild>
                                        <w:div w:id="277218587">
                                          <w:marLeft w:val="0"/>
                                          <w:marRight w:val="0"/>
                                          <w:marTop w:val="0"/>
                                          <w:marBottom w:val="0"/>
                                          <w:divBdr>
                                            <w:top w:val="none" w:sz="0" w:space="0" w:color="auto"/>
                                            <w:left w:val="none" w:sz="0" w:space="0" w:color="auto"/>
                                            <w:bottom w:val="none" w:sz="0" w:space="0" w:color="auto"/>
                                            <w:right w:val="none" w:sz="0" w:space="0" w:color="auto"/>
                                          </w:divBdr>
                                          <w:divsChild>
                                            <w:div w:id="243269760">
                                              <w:marLeft w:val="0"/>
                                              <w:marRight w:val="0"/>
                                              <w:marTop w:val="0"/>
                                              <w:marBottom w:val="0"/>
                                              <w:divBdr>
                                                <w:top w:val="none" w:sz="0" w:space="0" w:color="auto"/>
                                                <w:left w:val="none" w:sz="0" w:space="0" w:color="auto"/>
                                                <w:bottom w:val="none" w:sz="0" w:space="0" w:color="auto"/>
                                                <w:right w:val="none" w:sz="0" w:space="0" w:color="auto"/>
                                              </w:divBdr>
                                            </w:div>
                                            <w:div w:id="61147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84886280">
                  <w:marLeft w:val="0"/>
                  <w:marRight w:val="0"/>
                  <w:marTop w:val="0"/>
                  <w:marBottom w:val="0"/>
                  <w:divBdr>
                    <w:top w:val="none" w:sz="0" w:space="0" w:color="auto"/>
                    <w:left w:val="none" w:sz="0" w:space="0" w:color="auto"/>
                    <w:bottom w:val="none" w:sz="0" w:space="0" w:color="auto"/>
                    <w:right w:val="none" w:sz="0" w:space="0" w:color="auto"/>
                  </w:divBdr>
                </w:div>
                <w:div w:id="2107772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248692">
      <w:bodyDiv w:val="1"/>
      <w:marLeft w:val="0"/>
      <w:marRight w:val="0"/>
      <w:marTop w:val="0"/>
      <w:marBottom w:val="0"/>
      <w:divBdr>
        <w:top w:val="none" w:sz="0" w:space="0" w:color="auto"/>
        <w:left w:val="none" w:sz="0" w:space="0" w:color="auto"/>
        <w:bottom w:val="none" w:sz="0" w:space="0" w:color="auto"/>
        <w:right w:val="none" w:sz="0" w:space="0" w:color="auto"/>
      </w:divBdr>
      <w:divsChild>
        <w:div w:id="1699889899">
          <w:marLeft w:val="547"/>
          <w:marRight w:val="0"/>
          <w:marTop w:val="0"/>
          <w:marBottom w:val="0"/>
          <w:divBdr>
            <w:top w:val="none" w:sz="0" w:space="0" w:color="auto"/>
            <w:left w:val="none" w:sz="0" w:space="0" w:color="auto"/>
            <w:bottom w:val="none" w:sz="0" w:space="0" w:color="auto"/>
            <w:right w:val="none" w:sz="0" w:space="0" w:color="auto"/>
          </w:divBdr>
        </w:div>
      </w:divsChild>
    </w:div>
    <w:div w:id="1368414396">
      <w:bodyDiv w:val="1"/>
      <w:marLeft w:val="0"/>
      <w:marRight w:val="0"/>
      <w:marTop w:val="0"/>
      <w:marBottom w:val="0"/>
      <w:divBdr>
        <w:top w:val="none" w:sz="0" w:space="0" w:color="auto"/>
        <w:left w:val="none" w:sz="0" w:space="0" w:color="auto"/>
        <w:bottom w:val="none" w:sz="0" w:space="0" w:color="auto"/>
        <w:right w:val="none" w:sz="0" w:space="0" w:color="auto"/>
      </w:divBdr>
      <w:divsChild>
        <w:div w:id="2102754872">
          <w:marLeft w:val="0"/>
          <w:marRight w:val="0"/>
          <w:marTop w:val="0"/>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97776828">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51052090">
      <w:bodyDiv w:val="1"/>
      <w:marLeft w:val="0"/>
      <w:marRight w:val="0"/>
      <w:marTop w:val="0"/>
      <w:marBottom w:val="0"/>
      <w:divBdr>
        <w:top w:val="none" w:sz="0" w:space="0" w:color="auto"/>
        <w:left w:val="none" w:sz="0" w:space="0" w:color="auto"/>
        <w:bottom w:val="none" w:sz="0" w:space="0" w:color="auto"/>
        <w:right w:val="none" w:sz="0" w:space="0" w:color="auto"/>
      </w:divBdr>
      <w:divsChild>
        <w:div w:id="137841663">
          <w:marLeft w:val="403"/>
          <w:marRight w:val="0"/>
          <w:marTop w:val="0"/>
          <w:marBottom w:val="120"/>
          <w:divBdr>
            <w:top w:val="none" w:sz="0" w:space="0" w:color="auto"/>
            <w:left w:val="none" w:sz="0" w:space="0" w:color="auto"/>
            <w:bottom w:val="none" w:sz="0" w:space="0" w:color="auto"/>
            <w:right w:val="none" w:sz="0" w:space="0" w:color="auto"/>
          </w:divBdr>
        </w:div>
        <w:div w:id="2024286463">
          <w:marLeft w:val="922"/>
          <w:marRight w:val="0"/>
          <w:marTop w:val="0"/>
          <w:marBottom w:val="120"/>
          <w:divBdr>
            <w:top w:val="none" w:sz="0" w:space="0" w:color="auto"/>
            <w:left w:val="none" w:sz="0" w:space="0" w:color="auto"/>
            <w:bottom w:val="none" w:sz="0" w:space="0" w:color="auto"/>
            <w:right w:val="none" w:sz="0" w:space="0" w:color="auto"/>
          </w:divBdr>
        </w:div>
      </w:divsChild>
    </w:div>
    <w:div w:id="1489517415">
      <w:bodyDiv w:val="1"/>
      <w:marLeft w:val="0"/>
      <w:marRight w:val="0"/>
      <w:marTop w:val="0"/>
      <w:marBottom w:val="0"/>
      <w:divBdr>
        <w:top w:val="none" w:sz="0" w:space="0" w:color="auto"/>
        <w:left w:val="none" w:sz="0" w:space="0" w:color="auto"/>
        <w:bottom w:val="none" w:sz="0" w:space="0" w:color="auto"/>
        <w:right w:val="none" w:sz="0" w:space="0" w:color="auto"/>
      </w:divBdr>
      <w:divsChild>
        <w:div w:id="1104766091">
          <w:marLeft w:val="288"/>
          <w:marRight w:val="0"/>
          <w:marTop w:val="125"/>
          <w:marBottom w:val="0"/>
          <w:divBdr>
            <w:top w:val="none" w:sz="0" w:space="0" w:color="auto"/>
            <w:left w:val="none" w:sz="0" w:space="0" w:color="auto"/>
            <w:bottom w:val="none" w:sz="0" w:space="0" w:color="auto"/>
            <w:right w:val="none" w:sz="0" w:space="0" w:color="auto"/>
          </w:divBdr>
        </w:div>
        <w:div w:id="1825581793">
          <w:marLeft w:val="979"/>
          <w:marRight w:val="0"/>
          <w:marTop w:val="115"/>
          <w:marBottom w:val="0"/>
          <w:divBdr>
            <w:top w:val="none" w:sz="0" w:space="0" w:color="auto"/>
            <w:left w:val="none" w:sz="0" w:space="0" w:color="auto"/>
            <w:bottom w:val="none" w:sz="0" w:space="0" w:color="auto"/>
            <w:right w:val="none" w:sz="0" w:space="0" w:color="auto"/>
          </w:divBdr>
        </w:div>
        <w:div w:id="858096">
          <w:marLeft w:val="979"/>
          <w:marRight w:val="0"/>
          <w:marTop w:val="115"/>
          <w:marBottom w:val="0"/>
          <w:divBdr>
            <w:top w:val="none" w:sz="0" w:space="0" w:color="auto"/>
            <w:left w:val="none" w:sz="0" w:space="0" w:color="auto"/>
            <w:bottom w:val="none" w:sz="0" w:space="0" w:color="auto"/>
            <w:right w:val="none" w:sz="0" w:space="0" w:color="auto"/>
          </w:divBdr>
        </w:div>
      </w:divsChild>
    </w:div>
    <w:div w:id="153846903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51845190">
      <w:bodyDiv w:val="1"/>
      <w:marLeft w:val="0"/>
      <w:marRight w:val="0"/>
      <w:marTop w:val="0"/>
      <w:marBottom w:val="0"/>
      <w:divBdr>
        <w:top w:val="none" w:sz="0" w:space="0" w:color="auto"/>
        <w:left w:val="none" w:sz="0" w:space="0" w:color="auto"/>
        <w:bottom w:val="none" w:sz="0" w:space="0" w:color="auto"/>
        <w:right w:val="none" w:sz="0" w:space="0" w:color="auto"/>
      </w:divBdr>
    </w:div>
    <w:div w:id="1579562091">
      <w:bodyDiv w:val="1"/>
      <w:marLeft w:val="0"/>
      <w:marRight w:val="0"/>
      <w:marTop w:val="0"/>
      <w:marBottom w:val="0"/>
      <w:divBdr>
        <w:top w:val="none" w:sz="0" w:space="0" w:color="auto"/>
        <w:left w:val="none" w:sz="0" w:space="0" w:color="auto"/>
        <w:bottom w:val="none" w:sz="0" w:space="0" w:color="auto"/>
        <w:right w:val="none" w:sz="0" w:space="0" w:color="auto"/>
      </w:divBdr>
      <w:divsChild>
        <w:div w:id="310209439">
          <w:marLeft w:val="346"/>
          <w:marRight w:val="0"/>
          <w:marTop w:val="0"/>
          <w:marBottom w:val="120"/>
          <w:divBdr>
            <w:top w:val="none" w:sz="0" w:space="0" w:color="auto"/>
            <w:left w:val="none" w:sz="0" w:space="0" w:color="auto"/>
            <w:bottom w:val="none" w:sz="0" w:space="0" w:color="auto"/>
            <w:right w:val="none" w:sz="0" w:space="0" w:color="auto"/>
          </w:divBdr>
        </w:div>
      </w:divsChild>
    </w:div>
    <w:div w:id="1590001225">
      <w:bodyDiv w:val="1"/>
      <w:marLeft w:val="0"/>
      <w:marRight w:val="0"/>
      <w:marTop w:val="0"/>
      <w:marBottom w:val="0"/>
      <w:divBdr>
        <w:top w:val="none" w:sz="0" w:space="0" w:color="auto"/>
        <w:left w:val="none" w:sz="0" w:space="0" w:color="auto"/>
        <w:bottom w:val="none" w:sz="0" w:space="0" w:color="auto"/>
        <w:right w:val="none" w:sz="0" w:space="0" w:color="auto"/>
      </w:divBdr>
      <w:divsChild>
        <w:div w:id="1995178984">
          <w:marLeft w:val="547"/>
          <w:marRight w:val="0"/>
          <w:marTop w:val="0"/>
          <w:marBottom w:val="0"/>
          <w:divBdr>
            <w:top w:val="none" w:sz="0" w:space="0" w:color="auto"/>
            <w:left w:val="none" w:sz="0" w:space="0" w:color="auto"/>
            <w:bottom w:val="none" w:sz="0" w:space="0" w:color="auto"/>
            <w:right w:val="none" w:sz="0" w:space="0" w:color="auto"/>
          </w:divBdr>
        </w:div>
      </w:divsChild>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1953594">
      <w:bodyDiv w:val="1"/>
      <w:marLeft w:val="0"/>
      <w:marRight w:val="0"/>
      <w:marTop w:val="0"/>
      <w:marBottom w:val="0"/>
      <w:divBdr>
        <w:top w:val="none" w:sz="0" w:space="0" w:color="auto"/>
        <w:left w:val="none" w:sz="0" w:space="0" w:color="auto"/>
        <w:bottom w:val="none" w:sz="0" w:space="0" w:color="auto"/>
        <w:right w:val="none" w:sz="0" w:space="0" w:color="auto"/>
      </w:divBdr>
      <w:divsChild>
        <w:div w:id="452477954">
          <w:marLeft w:val="979"/>
          <w:marRight w:val="0"/>
          <w:marTop w:val="115"/>
          <w:marBottom w:val="0"/>
          <w:divBdr>
            <w:top w:val="none" w:sz="0" w:space="0" w:color="auto"/>
            <w:left w:val="none" w:sz="0" w:space="0" w:color="auto"/>
            <w:bottom w:val="none" w:sz="0" w:space="0" w:color="auto"/>
            <w:right w:val="none" w:sz="0" w:space="0" w:color="auto"/>
          </w:divBdr>
        </w:div>
        <w:div w:id="834682068">
          <w:marLeft w:val="1598"/>
          <w:marRight w:val="0"/>
          <w:marTop w:val="106"/>
          <w:marBottom w:val="0"/>
          <w:divBdr>
            <w:top w:val="none" w:sz="0" w:space="0" w:color="auto"/>
            <w:left w:val="none" w:sz="0" w:space="0" w:color="auto"/>
            <w:bottom w:val="none" w:sz="0" w:space="0" w:color="auto"/>
            <w:right w:val="none" w:sz="0" w:space="0" w:color="auto"/>
          </w:divBdr>
        </w:div>
        <w:div w:id="849686608">
          <w:marLeft w:val="979"/>
          <w:marRight w:val="0"/>
          <w:marTop w:val="115"/>
          <w:marBottom w:val="0"/>
          <w:divBdr>
            <w:top w:val="none" w:sz="0" w:space="0" w:color="auto"/>
            <w:left w:val="none" w:sz="0" w:space="0" w:color="auto"/>
            <w:bottom w:val="none" w:sz="0" w:space="0" w:color="auto"/>
            <w:right w:val="none" w:sz="0" w:space="0" w:color="auto"/>
          </w:divBdr>
        </w:div>
        <w:div w:id="1881890655">
          <w:marLeft w:val="979"/>
          <w:marRight w:val="0"/>
          <w:marTop w:val="115"/>
          <w:marBottom w:val="0"/>
          <w:divBdr>
            <w:top w:val="none" w:sz="0" w:space="0" w:color="auto"/>
            <w:left w:val="none" w:sz="0" w:space="0" w:color="auto"/>
            <w:bottom w:val="none" w:sz="0" w:space="0" w:color="auto"/>
            <w:right w:val="none" w:sz="0" w:space="0" w:color="auto"/>
          </w:divBdr>
        </w:div>
      </w:divsChild>
    </w:div>
    <w:div w:id="1630085717">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945225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89331843">
      <w:bodyDiv w:val="1"/>
      <w:marLeft w:val="0"/>
      <w:marRight w:val="0"/>
      <w:marTop w:val="0"/>
      <w:marBottom w:val="0"/>
      <w:divBdr>
        <w:top w:val="none" w:sz="0" w:space="0" w:color="auto"/>
        <w:left w:val="none" w:sz="0" w:space="0" w:color="auto"/>
        <w:bottom w:val="none" w:sz="0" w:space="0" w:color="auto"/>
        <w:right w:val="none" w:sz="0" w:space="0" w:color="auto"/>
      </w:divBdr>
    </w:div>
    <w:div w:id="1704280515">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149759">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9226339">
      <w:bodyDiv w:val="1"/>
      <w:marLeft w:val="0"/>
      <w:marRight w:val="0"/>
      <w:marTop w:val="0"/>
      <w:marBottom w:val="0"/>
      <w:divBdr>
        <w:top w:val="none" w:sz="0" w:space="0" w:color="auto"/>
        <w:left w:val="none" w:sz="0" w:space="0" w:color="auto"/>
        <w:bottom w:val="none" w:sz="0" w:space="0" w:color="auto"/>
        <w:right w:val="none" w:sz="0" w:space="0" w:color="auto"/>
      </w:divBdr>
    </w:div>
    <w:div w:id="1799228113">
      <w:bodyDiv w:val="1"/>
      <w:marLeft w:val="0"/>
      <w:marRight w:val="0"/>
      <w:marTop w:val="0"/>
      <w:marBottom w:val="0"/>
      <w:divBdr>
        <w:top w:val="none" w:sz="0" w:space="0" w:color="auto"/>
        <w:left w:val="none" w:sz="0" w:space="0" w:color="auto"/>
        <w:bottom w:val="none" w:sz="0" w:space="0" w:color="auto"/>
        <w:right w:val="none" w:sz="0" w:space="0" w:color="auto"/>
      </w:divBdr>
      <w:divsChild>
        <w:div w:id="627053025">
          <w:marLeft w:val="0"/>
          <w:marRight w:val="0"/>
          <w:marTop w:val="0"/>
          <w:marBottom w:val="0"/>
          <w:divBdr>
            <w:top w:val="none" w:sz="0" w:space="0" w:color="auto"/>
            <w:left w:val="none" w:sz="0" w:space="0" w:color="auto"/>
            <w:bottom w:val="none" w:sz="0" w:space="0" w:color="auto"/>
            <w:right w:val="none" w:sz="0" w:space="0" w:color="auto"/>
          </w:divBdr>
        </w:div>
      </w:divsChild>
    </w:div>
    <w:div w:id="182002769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91960078">
      <w:bodyDiv w:val="1"/>
      <w:marLeft w:val="0"/>
      <w:marRight w:val="0"/>
      <w:marTop w:val="0"/>
      <w:marBottom w:val="0"/>
      <w:divBdr>
        <w:top w:val="none" w:sz="0" w:space="0" w:color="auto"/>
        <w:left w:val="none" w:sz="0" w:space="0" w:color="auto"/>
        <w:bottom w:val="none" w:sz="0" w:space="0" w:color="auto"/>
        <w:right w:val="none" w:sz="0" w:space="0" w:color="auto"/>
      </w:divBdr>
    </w:div>
    <w:div w:id="1913201721">
      <w:bodyDiv w:val="1"/>
      <w:marLeft w:val="0"/>
      <w:marRight w:val="0"/>
      <w:marTop w:val="0"/>
      <w:marBottom w:val="0"/>
      <w:divBdr>
        <w:top w:val="none" w:sz="0" w:space="0" w:color="auto"/>
        <w:left w:val="none" w:sz="0" w:space="0" w:color="auto"/>
        <w:bottom w:val="none" w:sz="0" w:space="0" w:color="auto"/>
        <w:right w:val="none" w:sz="0" w:space="0" w:color="auto"/>
      </w:divBdr>
    </w:div>
    <w:div w:id="1916471619">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89895191">
      <w:bodyDiv w:val="1"/>
      <w:marLeft w:val="0"/>
      <w:marRight w:val="0"/>
      <w:marTop w:val="0"/>
      <w:marBottom w:val="0"/>
      <w:divBdr>
        <w:top w:val="none" w:sz="0" w:space="0" w:color="auto"/>
        <w:left w:val="none" w:sz="0" w:space="0" w:color="auto"/>
        <w:bottom w:val="none" w:sz="0" w:space="0" w:color="auto"/>
        <w:right w:val="none" w:sz="0" w:space="0" w:color="auto"/>
      </w:divBdr>
    </w:div>
    <w:div w:id="1994525233">
      <w:bodyDiv w:val="1"/>
      <w:marLeft w:val="0"/>
      <w:marRight w:val="0"/>
      <w:marTop w:val="0"/>
      <w:marBottom w:val="0"/>
      <w:divBdr>
        <w:top w:val="none" w:sz="0" w:space="0" w:color="auto"/>
        <w:left w:val="none" w:sz="0" w:space="0" w:color="auto"/>
        <w:bottom w:val="none" w:sz="0" w:space="0" w:color="auto"/>
        <w:right w:val="none" w:sz="0" w:space="0" w:color="auto"/>
      </w:divBdr>
    </w:div>
    <w:div w:id="2005936559">
      <w:bodyDiv w:val="1"/>
      <w:marLeft w:val="0"/>
      <w:marRight w:val="0"/>
      <w:marTop w:val="0"/>
      <w:marBottom w:val="0"/>
      <w:divBdr>
        <w:top w:val="none" w:sz="0" w:space="0" w:color="auto"/>
        <w:left w:val="none" w:sz="0" w:space="0" w:color="auto"/>
        <w:bottom w:val="none" w:sz="0" w:space="0" w:color="auto"/>
        <w:right w:val="none" w:sz="0" w:space="0" w:color="auto"/>
      </w:divBdr>
      <w:divsChild>
        <w:div w:id="2137605521">
          <w:marLeft w:val="806"/>
          <w:marRight w:val="0"/>
          <w:marTop w:val="75"/>
          <w:marBottom w:val="0"/>
          <w:divBdr>
            <w:top w:val="none" w:sz="0" w:space="0" w:color="auto"/>
            <w:left w:val="none" w:sz="0" w:space="0" w:color="auto"/>
            <w:bottom w:val="none" w:sz="0" w:space="0" w:color="auto"/>
            <w:right w:val="none" w:sz="0" w:space="0" w:color="auto"/>
          </w:divBdr>
        </w:div>
      </w:divsChild>
    </w:div>
    <w:div w:id="2017609525">
      <w:bodyDiv w:val="1"/>
      <w:marLeft w:val="0"/>
      <w:marRight w:val="0"/>
      <w:marTop w:val="0"/>
      <w:marBottom w:val="0"/>
      <w:divBdr>
        <w:top w:val="none" w:sz="0" w:space="0" w:color="auto"/>
        <w:left w:val="none" w:sz="0" w:space="0" w:color="auto"/>
        <w:bottom w:val="none" w:sz="0" w:space="0" w:color="auto"/>
        <w:right w:val="none" w:sz="0" w:space="0" w:color="auto"/>
      </w:divBdr>
    </w:div>
    <w:div w:id="2019111116">
      <w:bodyDiv w:val="1"/>
      <w:marLeft w:val="0"/>
      <w:marRight w:val="0"/>
      <w:marTop w:val="0"/>
      <w:marBottom w:val="0"/>
      <w:divBdr>
        <w:top w:val="none" w:sz="0" w:space="0" w:color="auto"/>
        <w:left w:val="none" w:sz="0" w:space="0" w:color="auto"/>
        <w:bottom w:val="none" w:sz="0" w:space="0" w:color="auto"/>
        <w:right w:val="none" w:sz="0" w:space="0" w:color="auto"/>
      </w:divBdr>
    </w:div>
    <w:div w:id="2025471584">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37847735">
      <w:bodyDiv w:val="1"/>
      <w:marLeft w:val="0"/>
      <w:marRight w:val="0"/>
      <w:marTop w:val="0"/>
      <w:marBottom w:val="0"/>
      <w:divBdr>
        <w:top w:val="none" w:sz="0" w:space="0" w:color="auto"/>
        <w:left w:val="none" w:sz="0" w:space="0" w:color="auto"/>
        <w:bottom w:val="none" w:sz="0" w:space="0" w:color="auto"/>
        <w:right w:val="none" w:sz="0" w:space="0" w:color="auto"/>
      </w:divBdr>
    </w:div>
    <w:div w:id="2048672973">
      <w:bodyDiv w:val="1"/>
      <w:marLeft w:val="0"/>
      <w:marRight w:val="0"/>
      <w:marTop w:val="0"/>
      <w:marBottom w:val="0"/>
      <w:divBdr>
        <w:top w:val="none" w:sz="0" w:space="0" w:color="auto"/>
        <w:left w:val="none" w:sz="0" w:space="0" w:color="auto"/>
        <w:bottom w:val="none" w:sz="0" w:space="0" w:color="auto"/>
        <w:right w:val="none" w:sz="0" w:space="0" w:color="auto"/>
      </w:divBdr>
      <w:divsChild>
        <w:div w:id="267852328">
          <w:marLeft w:val="1354"/>
          <w:marRight w:val="0"/>
          <w:marTop w:val="75"/>
          <w:marBottom w:val="0"/>
          <w:divBdr>
            <w:top w:val="none" w:sz="0" w:space="0" w:color="auto"/>
            <w:left w:val="none" w:sz="0" w:space="0" w:color="auto"/>
            <w:bottom w:val="none" w:sz="0" w:space="0" w:color="auto"/>
            <w:right w:val="none" w:sz="0" w:space="0" w:color="auto"/>
          </w:divBdr>
        </w:div>
        <w:div w:id="303005634">
          <w:marLeft w:val="1886"/>
          <w:marRight w:val="0"/>
          <w:marTop w:val="75"/>
          <w:marBottom w:val="0"/>
          <w:divBdr>
            <w:top w:val="none" w:sz="0" w:space="0" w:color="auto"/>
            <w:left w:val="none" w:sz="0" w:space="0" w:color="auto"/>
            <w:bottom w:val="none" w:sz="0" w:space="0" w:color="auto"/>
            <w:right w:val="none" w:sz="0" w:space="0" w:color="auto"/>
          </w:divBdr>
        </w:div>
        <w:div w:id="363141062">
          <w:marLeft w:val="1886"/>
          <w:marRight w:val="0"/>
          <w:marTop w:val="75"/>
          <w:marBottom w:val="0"/>
          <w:divBdr>
            <w:top w:val="none" w:sz="0" w:space="0" w:color="auto"/>
            <w:left w:val="none" w:sz="0" w:space="0" w:color="auto"/>
            <w:bottom w:val="none" w:sz="0" w:space="0" w:color="auto"/>
            <w:right w:val="none" w:sz="0" w:space="0" w:color="auto"/>
          </w:divBdr>
        </w:div>
        <w:div w:id="1150361481">
          <w:marLeft w:val="1354"/>
          <w:marRight w:val="0"/>
          <w:marTop w:val="75"/>
          <w:marBottom w:val="0"/>
          <w:divBdr>
            <w:top w:val="none" w:sz="0" w:space="0" w:color="auto"/>
            <w:left w:val="none" w:sz="0" w:space="0" w:color="auto"/>
            <w:bottom w:val="none" w:sz="0" w:space="0" w:color="auto"/>
            <w:right w:val="none" w:sz="0" w:space="0" w:color="auto"/>
          </w:divBdr>
        </w:div>
        <w:div w:id="1314136718">
          <w:marLeft w:val="1886"/>
          <w:marRight w:val="0"/>
          <w:marTop w:val="75"/>
          <w:marBottom w:val="0"/>
          <w:divBdr>
            <w:top w:val="none" w:sz="0" w:space="0" w:color="auto"/>
            <w:left w:val="none" w:sz="0" w:space="0" w:color="auto"/>
            <w:bottom w:val="none" w:sz="0" w:space="0" w:color="auto"/>
            <w:right w:val="none" w:sz="0" w:space="0" w:color="auto"/>
          </w:divBdr>
        </w:div>
        <w:div w:id="1320890658">
          <w:marLeft w:val="1886"/>
          <w:marRight w:val="0"/>
          <w:marTop w:val="75"/>
          <w:marBottom w:val="0"/>
          <w:divBdr>
            <w:top w:val="none" w:sz="0" w:space="0" w:color="auto"/>
            <w:left w:val="none" w:sz="0" w:space="0" w:color="auto"/>
            <w:bottom w:val="none" w:sz="0" w:space="0" w:color="auto"/>
            <w:right w:val="none" w:sz="0" w:space="0" w:color="auto"/>
          </w:divBdr>
        </w:div>
      </w:divsChild>
    </w:div>
    <w:div w:id="2076052373">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098286333">
      <w:bodyDiv w:val="1"/>
      <w:marLeft w:val="0"/>
      <w:marRight w:val="0"/>
      <w:marTop w:val="0"/>
      <w:marBottom w:val="0"/>
      <w:divBdr>
        <w:top w:val="none" w:sz="0" w:space="0" w:color="auto"/>
        <w:left w:val="none" w:sz="0" w:space="0" w:color="auto"/>
        <w:bottom w:val="none" w:sz="0" w:space="0" w:color="auto"/>
        <w:right w:val="none" w:sz="0" w:space="0" w:color="auto"/>
      </w:divBdr>
    </w:div>
    <w:div w:id="2099785839">
      <w:bodyDiv w:val="1"/>
      <w:marLeft w:val="0"/>
      <w:marRight w:val="0"/>
      <w:marTop w:val="0"/>
      <w:marBottom w:val="0"/>
      <w:divBdr>
        <w:top w:val="none" w:sz="0" w:space="0" w:color="auto"/>
        <w:left w:val="none" w:sz="0" w:space="0" w:color="auto"/>
        <w:bottom w:val="none" w:sz="0" w:space="0" w:color="auto"/>
        <w:right w:val="none" w:sz="0" w:space="0" w:color="auto"/>
      </w:divBdr>
      <w:divsChild>
        <w:div w:id="1378772969">
          <w:marLeft w:val="0"/>
          <w:marRight w:val="0"/>
          <w:marTop w:val="0"/>
          <w:marBottom w:val="0"/>
          <w:divBdr>
            <w:top w:val="none" w:sz="0" w:space="0" w:color="auto"/>
            <w:left w:val="none" w:sz="0" w:space="0" w:color="auto"/>
            <w:bottom w:val="none" w:sz="0" w:space="0" w:color="auto"/>
            <w:right w:val="none" w:sz="0" w:space="0" w:color="auto"/>
          </w:divBdr>
        </w:div>
      </w:divsChild>
    </w:div>
    <w:div w:id="2101098562">
      <w:bodyDiv w:val="1"/>
      <w:marLeft w:val="0"/>
      <w:marRight w:val="0"/>
      <w:marTop w:val="0"/>
      <w:marBottom w:val="0"/>
      <w:divBdr>
        <w:top w:val="none" w:sz="0" w:space="0" w:color="auto"/>
        <w:left w:val="none" w:sz="0" w:space="0" w:color="auto"/>
        <w:bottom w:val="none" w:sz="0" w:space="0" w:color="auto"/>
        <w:right w:val="none" w:sz="0" w:space="0" w:color="auto"/>
      </w:divBdr>
      <w:divsChild>
        <w:div w:id="1394769734">
          <w:marLeft w:val="1354"/>
          <w:marRight w:val="0"/>
          <w:marTop w:val="75"/>
          <w:marBottom w:val="0"/>
          <w:divBdr>
            <w:top w:val="none" w:sz="0" w:space="0" w:color="auto"/>
            <w:left w:val="none" w:sz="0" w:space="0" w:color="auto"/>
            <w:bottom w:val="none" w:sz="0" w:space="0" w:color="auto"/>
            <w:right w:val="none" w:sz="0" w:space="0" w:color="auto"/>
          </w:divBdr>
        </w:div>
        <w:div w:id="288511269">
          <w:marLeft w:val="1886"/>
          <w:marRight w:val="0"/>
          <w:marTop w:val="75"/>
          <w:marBottom w:val="0"/>
          <w:divBdr>
            <w:top w:val="none" w:sz="0" w:space="0" w:color="auto"/>
            <w:left w:val="none" w:sz="0" w:space="0" w:color="auto"/>
            <w:bottom w:val="none" w:sz="0" w:space="0" w:color="auto"/>
            <w:right w:val="none" w:sz="0" w:space="0" w:color="auto"/>
          </w:divBdr>
        </w:div>
        <w:div w:id="745495933">
          <w:marLeft w:val="1886"/>
          <w:marRight w:val="0"/>
          <w:marTop w:val="75"/>
          <w:marBottom w:val="0"/>
          <w:divBdr>
            <w:top w:val="none" w:sz="0" w:space="0" w:color="auto"/>
            <w:left w:val="none" w:sz="0" w:space="0" w:color="auto"/>
            <w:bottom w:val="none" w:sz="0" w:space="0" w:color="auto"/>
            <w:right w:val="none" w:sz="0" w:space="0" w:color="auto"/>
          </w:divBdr>
        </w:div>
        <w:div w:id="76445227">
          <w:marLeft w:val="2434"/>
          <w:marRight w:val="0"/>
          <w:marTop w:val="75"/>
          <w:marBottom w:val="0"/>
          <w:divBdr>
            <w:top w:val="none" w:sz="0" w:space="0" w:color="auto"/>
            <w:left w:val="none" w:sz="0" w:space="0" w:color="auto"/>
            <w:bottom w:val="none" w:sz="0" w:space="0" w:color="auto"/>
            <w:right w:val="none" w:sz="0" w:space="0" w:color="auto"/>
          </w:divBdr>
        </w:div>
      </w:divsChild>
    </w:div>
    <w:div w:id="2146581971">
      <w:bodyDiv w:val="1"/>
      <w:marLeft w:val="0"/>
      <w:marRight w:val="0"/>
      <w:marTop w:val="0"/>
      <w:marBottom w:val="0"/>
      <w:divBdr>
        <w:top w:val="none" w:sz="0" w:space="0" w:color="auto"/>
        <w:left w:val="none" w:sz="0" w:space="0" w:color="auto"/>
        <w:bottom w:val="none" w:sz="0" w:space="0" w:color="auto"/>
        <w:right w:val="none" w:sz="0" w:space="0" w:color="auto"/>
      </w:divBdr>
      <w:divsChild>
        <w:div w:id="19211828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8FED0AE0408446974280AC38F96057" ma:contentTypeVersion="5" ma:contentTypeDescription="Create a new document." ma:contentTypeScope="" ma:versionID="1124786bc5da405d271456f3bee0110d">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47aafdfec40924057c90dee9339c7bad"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F32F824-B772-4EEE-BE31-5D3ADE284F3C}">
  <ds:schemaRefs>
    <ds:schemaRef ds:uri="http://schemas.microsoft.com/sharepoint/v3/contenttype/forms"/>
  </ds:schemaRefs>
</ds:datastoreItem>
</file>

<file path=customXml/itemProps2.xml><?xml version="1.0" encoding="utf-8"?>
<ds:datastoreItem xmlns:ds="http://schemas.openxmlformats.org/officeDocument/2006/customXml" ds:itemID="{7508B46F-FD41-4335-80F2-35E174081D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029895-D091-674A-9D16-B9007749E4D9}">
  <ds:schemaRefs>
    <ds:schemaRef ds:uri="http://schemas.openxmlformats.org/officeDocument/2006/bibliography"/>
  </ds:schemaRefs>
</ds:datastoreItem>
</file>

<file path=customXml/itemProps4.xml><?xml version="1.0" encoding="utf-8"?>
<ds:datastoreItem xmlns:ds="http://schemas.openxmlformats.org/officeDocument/2006/customXml" ds:itemID="{DA6011E2-6EE2-4473-8972-D5D34B6B826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5528</TotalTime>
  <Pages>10</Pages>
  <Words>2863</Words>
  <Characters>16323</Characters>
  <DocSecurity>0</DocSecurity>
  <Lines>136</Lines>
  <Paragraphs>38</Paragraphs>
  <ScaleCrop>false</ScaleCrop>
  <HeadingPairs>
    <vt:vector size="4" baseType="variant">
      <vt:variant>
        <vt:lpstr>タイトル</vt:lpstr>
      </vt:variant>
      <vt:variant>
        <vt:i4>1</vt:i4>
      </vt:variant>
      <vt:variant>
        <vt:lpstr>Headings</vt:lpstr>
      </vt:variant>
      <vt:variant>
        <vt:i4>6</vt:i4>
      </vt:variant>
    </vt:vector>
  </HeadingPairs>
  <TitlesOfParts>
    <vt:vector size="7" baseType="lpstr">
      <vt:lpstr/>
      <vt:lpstr>Introduction</vt:lpstr>
      <vt:lpstr>Motivations on OTDOA by TDD NB-IoT</vt:lpstr>
      <vt:lpstr>    Cost &amp; power consumption requirements</vt:lpstr>
      <vt:lpstr>    Provision of OTDOA by FDD</vt:lpstr>
      <vt:lpstr>    TDD only operators</vt:lpstr>
      <vt:lpstr>Proposals</vt:lpstr>
    </vt:vector>
  </TitlesOfParts>
  <Manager/>
  <Company/>
  <LinksUpToDate>false</LinksUpToDate>
  <CharactersWithSpaces>19148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description/>
  <dcterms:created xsi:type="dcterms:W3CDTF">2013-08-09T08:26:00Z</dcterms:created>
  <dcterms:modified xsi:type="dcterms:W3CDTF">2023-08-11T00:45:00Z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